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31</w:t>
      </w:r>
    </w:p>
    <w:p>
      <w:r>
        <w:t>Bundesgericht (BGE), 1975-02-19, DE</w:t>
      </w:r>
    </w:p>
    <w:p>
      <w:r>
        <w:rPr>
          <w:b/>
        </w:rPr>
        <w:t xml:space="preserve">Quelle: </w:t>
      </w:r>
      <w:r>
        <w:t>https://mcp.opencaselaw.ch/entscheid/bge_BGE_101_V_31</w:t>
      </w:r>
    </w:p>
    <w:p>
      <w:r>
        <w:t>FR: ATF 101 V 31</w:t>
      </w:r>
    </w:p>
    <w:p>
      <w:r>
        <w:t>IT: DTF 101 V 31</w:t>
      </w:r>
    </w:p>
    <w:p>
      <w:pPr>
        <w:pStyle w:val="Heading2"/>
      </w:pPr>
      <w:r>
        <w:t>Regeste</w:t>
      </w:r>
    </w:p>
    <w:p>
      <w:r>
        <w:t>Regeste Kassenzugehörigkeit (Art. 64 AHVG) von unselbständigen Betriebszweigen.</w:t>
      </w:r>
    </w:p>
    <w:p>
      <w:r>
        <w:t>Regeste De l'affiliation aux caisses (art. 64 LAVS) de branches non autonomes d'une entreprise.</w:t>
      </w:r>
    </w:p>
    <w:p>
      <w:r>
        <w:t>Regesto Dell'affiliazione alle casse (art. 64 LAVS) di singoli rami aziendali.</w:t>
      </w:r>
    </w:p>
    <w:p>
      <w:pPr>
        <w:pStyle w:val="Heading2"/>
      </w:pPr>
      <w:r>
        <w:t>Erwägungen</w:t>
      </w:r>
    </w:p>
    <w:p>
      <w:r>
        <w:rPr>
          <w:b/>
        </w:rPr>
        <w:t>E. 1</w:t>
      </w:r>
    </w:p>
    <w:p>
      <w:r>
        <w:t>Rechtlich massgebend für die Kassenzugehörigkeit ist Art. 64 AHVG . Nach dessen Abs. 1 werden alle Arbeitgeber und Selbständigerwerbenden, die einem Gründerverband angehören, der entsprechenden Verbandsausgleichskasse angeschlossen. Arbeitgeber und Selbständigerwerbende, die sowohl einem Berufsverband als auch einem zwischenberuflichen Verband angehören, werden nach freier Wahl der Ausgleichskasse eines der beiden Verbände angeschlossen. Alle andern Arbeitgeber und Selbständigerwerbenden (mit Ausnahme der gemäss Art. 62 AHVG den Ausgleichskassen des Bundes zugehörigen) werden den kantonalen Ausgleichskassen angeschlossen (Art. 64 Abs. 2). Die Kassenzugehörigkeit eines Arbeitgebers erstreckt sich auf alle Arbeitnehmer, für die er den Arbeitgeberbeitrag zu leisten hat (Abs. 3). Der Bundesrat erlässt die erforderlichen Vorschriften über die Kassenzugehörigkeit von Arbeitgebern und Selbständigerwerbenden, die mehr als einem Berufsverband angehören oder deren Tätigkeit sich auf mehr als einen Kanton erstreckt (Abs. 4).</w:t>
      </w:r>
    </w:p>
    <w:p>
      <w:r>
        <w:rPr>
          <w:b/>
        </w:rPr>
        <w:t>E. 2</w:t>
      </w:r>
    </w:p>
    <w:p>
      <w:r>
        <w:t>Es ist unbestritten, dass die Luftseilbahn Dallenwil-Niederrickenbach keine rechtliche Selbständigkeit besitzt, sondern nur ein unselbständiger Betriebszweig der sogenannten Kapellenstiftung ist, allerdings mit einer verwaltungstechnisch besondern Organisation. Rechtssubjekt und Arbeitgeberin im Sinne der AHV ist also allein die Kapellenstiftung, welche auch die Bahnkonzession besitzt. Welches die wirkliche Rechtsnatur dieser Arbeitgeberin ist, kann, weil unter dem heute zu beurteilenden Gesichtspunkt der Kassenzugehörigkeit unerheblich, offen bleiben. Die Ausgleichskasse Transport bestätigt, dass die Stiftung dem Gründerverband als Mitglied weder angehört noch angehören kann. Sie anerkennt lediglich die Luftseilbahn als Mitglied. Ob eine solche Mitgliedschaft eines unselbständigen Betriebszweiges unter Ausschluss des eigentlichen Rechtssubjektes, dem der Betriebszweig angehört, rechtlich möglich ist, BGE 101 V 31 S. 34 braucht nicht näher geprüft zu werden. Sollte eine solche Mitgliedschaft möglich sein, so ändert dies nichts an der Tatsache, dass der rechtlich massgebende Arbeitgeber als solcher nicht Mitglied des Gründerverbandes ist. Bei Verneinung der rechtlichen Möglichkeit der Mitgliedschaft eines solchen unselbständigen Betriebszweiges würde es an sich naheliegen, den Verbandsbeitritt des Zweigbetriebes in einen solchen der Stiftung umzudeuten. Aber auch damit wäre im vorliegenden Fall nichts gewonnen, weil die Ausgleichskasse Transport die Mitgliedschaft der Stiftung als solcher nicht nur ausdrücklich verneint, sondern ausserdem als - offenbar gemäss Verbandsstatuten - gar nicht möglich bezeichnet. Demnach gehört die Stiftung gemäss Art. 64 Abs. 1 AHVG der kantonalen Ausgleichskasse an, und da sich die Kassenzugehörigkeit eines Arbeitgebers nach Art. 64 Abs. 3 AHVG auf alle seine Arbeitnehmer erstreckt, wird damit auch die Luftseilbahn erfasst. Entgegen der Auffassung des Eidgenössischen Departements des Innern kann ein bloss verwaltungstechnisch ausgeschiedener Zweigbetrieb eines Arbeitgebers keine eigene Mitgliedschaft bei einem Gründerverband und damit keine selbständige Kassenzugehörigkeit bei der betreffenden Verbandsausgleichskasse erwerben. Auch die Argumentation in der bundesamtlichen Verfügung vermag nicht zu überzeugen. Wohl mag es zutreffen, dass bei verwaltungstechnischer Verselbständigung einzelner Betriebszweige mit eigener Organisation und eigener Rechnungsführung der Anschluss an verschiedene Ausgleichskassen verwaltungsmässig durchführbar wäre. Dies macht es aber weder nötig noch auch nur wünschbar, die eindeutige Vorschrift von Art. 64 Abs. 3 AHVG zu umgehen. Die Auffassung des Bundesamtes würde die Aufsplitterung eines Arbeitgebers in beliebig viele Zweigbetriebe ermöglichen (insbesondere in Betrieben mit starker Diversifikation), Was letztlich zu unübersichtlichen und kaum kontrollierbaren Verhältnissen führen würde; denn die Verwaltungsorgane und die Kontrollinstanzen der AHV hätten es stets nur mit Teilbereichen der Arbeitgebertätigkeit zu tun, ohne eine richtige Übersicht über das Ganze zu haben. Auch das Argument der speziellen Berufszugehörigkeit besonderer Zweigbetriebe ist kein zwingendes Argument für die Zweckmässigkeit des Anschlusses an die entsprechenden BGE 101 V 31 S. 35 Verbandsausgleichskassen. Nach Art. 53 AHVG ist es ja keineswegs so, dass die Verbandsausgleichskassen je nur eine bestimmte Berufsgattung zu betreuen hätten. Nicht nur können sich gänzlich verschiedene Berufsverbände zu einem Gründerverband zusammenschliessen, sondern es sind auch zwischenberufliche Gründerverbände auf schweizerischer oder regionaler Basis möglich. Das Bundesamt will in seiner Verfügung seine Betrachtungsweise noch "mit Erwägungen begründen, die jenen ähnlich sind, die für die Sonderregelung bei Betrieben mit örtlich getrennten Zweigniederlassungen massgebend sind": Die Luftseilbahn und das - von der Stiftung als weiterer besonderer Betriebszweig geführte - Hotel könnten in gewissem Sinne als Zweigniederlassung der Stiftung gemäss Art. 117 Abs. 3 AHVV betrachtet werden; ferner bilde die Tatsache, dass die verschiedenen Tätigkeitsgebiete der Stiftung wirtschaftlich getrennt geführt würden, ein "besonderes Verhältnis" im Sinne der genannten Verordnungsbestimmung, das eine getrennte AHV-Abrechnung als vernünftig und geboten erscheinen lasse. Offenbar will das Bundesamt damit sagen, die funktionell-organisatorische Sonderstellung von bestimmten Betriebszweigen könne in Analogie zu den durch das Kriterium der örtlichen Trennung charakterisierten Zweigniederlassungen gesetzt werden. Diese Folgerung ist indessen allein schon deshalb unzutreffend, weil die Zweigniederlassung nebst der örtlichen Trennung in gewissem Masse ebenfalls eine organisatorische Trennung voraussetzt, weshalb die Zweigniederlassung gegenüber dem bloss besondern Betriebszweig eine qualifizierte Sonderstellung einnimmt. Aus diesem Grund und mangels einer wirklichen Notwendigkeit, den bloss funktionell-organisatorisch ausgeschiedenen Betriebsteilen eine besondere Kassenzugehörigkeit zu ermöglichen (was allenfalls gestützt auf Art. 64 Abs. 4 AHVG hätte vorgesehen werden können), darf keine von der Verwaltung bzw. vom Richter auszufüllende echte Lücke in der Verordnung angenommen werden. Anderseits deckt Art. 64 Abs. 4 AHVG die Bestimmung von Art. 117 Abs. 3 AHVV , wonach das Bundesamt bei Vorliegen besonderer Verhältnisse Ausnahmen von der Regel, dass Zweigniederlassungen der gleichen Ausgleichskasse wie der Hauptsitz angeschlossen werden, bewilligen kann, sicher mindestens insoweit, als es um ausserkantonale Zweigniederlassungen BGE 101 V 31 S. 36 geht. Ob diese Regelung auch bezüglich der innerkantonalen Zweigniederlassungen durch das AHVG gedeckt ist, braucht nicht näher untersucht zu werden, weil es im vorliegenden Fall nicht um eine Zweigniederlassung geht. Ebensowenig muss zur Frage Stellung genommen werden, wie es sich beim Hotel der Stiftung bezüglich der Kassenzugehörigkeit verhält, da diese Frage nicht Gegenstand der angefochtenen Verfügung ist. Aus dem gleichen Grund kann die weitere von der Beschwerdeführerin aufgeworfene Frage, nach welchem Modus die Verbandsausgleichskasse von den kantonalen Ausgleichskassen die Mitglieder anzufordern haben und inwieweit den kantonalen Ausgleichskassen diesbezüglich ein Kontrollrecht zusteht, offen bleiben. Schliesslich sei noch erwähnt, dass die Beschwerdeführerin irrt, wenn sie meint, Institutionen, die in erster Linie kulturellen und religiösen Zwecken und nicht Erwerbszwecken dienen, fehle das wesentliche Interesse an der Mitgliedschaft bei einem Berufsverband, weshalb solche Institutionen grundsätzlich der kantonalen Ausgleichskasse angeschlossen werden sollten. Sobald eben eine solche Institution gemäss Verbandsstatuten einem Berufsverband oder aber einem zwischenberuflichen Verband beitreten kann, dürfte in der Regel ein rechtlich schützenswertes Interesse an einem solchen Beitritt mindestens möglich und damit gegebenenfalls die Voraussetzung zum Anschluss an eine Verbandsausgleichskasse erfüllt sein. Dispositiv Demnach erkennt das Eidg. Versicherungsgericht: Die Verwaltungsgerichtsbeschwerde wird gutgeheissen, der Entscheid des Eidgenössischen Departements des Innern vom 19. Dezember 1973 und die Verfügung des Bundesamtes für Sozialversicherung vom 19. Juni 1973 werden aufgehoben mit der Feststellung, dass die Stiftung der Gnadenkapelle Maria Rickenbach bezüglich der Seilbahn der Ausgleichskasse des Kantons Nidwalden angeschlossen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