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220</w:t>
      </w:r>
    </w:p>
    <w:p>
      <w:r>
        <w:t>Bundesgericht (BGE), 1975-01-01, DE</w:t>
      </w:r>
    </w:p>
    <w:p>
      <w:r>
        <w:rPr>
          <w:b/>
        </w:rPr>
        <w:t xml:space="preserve">Quelle: </w:t>
      </w:r>
      <w:r>
        <w:t>https://mcp.opencaselaw.ch/entscheid/bge_BGE_101_V_220</w:t>
      </w:r>
    </w:p>
    <w:p>
      <w:r>
        <w:t>FR: ATF 101 V 220</w:t>
      </w:r>
    </w:p>
    <w:p>
      <w:r>
        <w:t>IT: DTF 101 V 220</w:t>
      </w:r>
    </w:p>
    <w:p>
      <w:pPr>
        <w:pStyle w:val="Heading2"/>
      </w:pPr>
      <w:r>
        <w:t>Regeste</w:t>
      </w:r>
    </w:p>
    <w:p>
      <w:r>
        <w:t>Regeste Verfügungen der Schweizerischen Unfallversicherungsanstalt, die zu Streitigkeiten gemäss Art. 120 Abs. 1 lit. a KUVG Anlass geben können, unterliegen der Beschwerde. Bundesrechtswidrig ist die Auffassung, wonach solche Streitigkeiten keine Rechtsmittel-, sondern Klagefälle seien, in denen der kantonale Richter nicht über die Parteibegehren hinausgehen dürfe (Änderung der Rechtsprechung). Art. 121 Abs. 1 KUVG. Es erschwert die Durchsetzung des materiellen Bundesrechts in ungebührlicher Weise, vom Beschwerdeführer die Angabe des Invaliditätsgrades zu verlangen, der seines Erachtens für die Rentenbemessung den Ausschlag geben sollte.</w:t>
      </w:r>
    </w:p>
    <w:p>
      <w:r>
        <w:t>Regeste Les décisions de la CNA qui peuvent faire l'objet d'une contestation au sens de l'art. 120 al. 1 lit. a LAMA sont sujettes à recours. Il est contraire au droit fédéral de considérer que, pour de telles contestations, la voie n'est pas celle du recours mais celle de l'action, dans laquelle le juge ne peut aller au-delà des conclusions des parties (changement de la jurisprudence). Art. 121 al. 1 LAMA. Demander du recourant qu'il indique le taux d'invalidité à son avis déterminant pour arrêter le montant de la rente est une exigence qui forme un obstacle intolérable à l'application du droit fédéral.</w:t>
      </w:r>
    </w:p>
    <w:p>
      <w:r>
        <w:t>Regesto Le decisioni dell'INSAI che possono suscitare contestazioni ai sensi dell'art. 120 cpv. 1 lit. a LAMI soggiacono al ricorso. È contrario al diritto federale l'assunto che ogni simile contestazione sia da sottoporre al giudice mediante azione che lo vincoli alle proposte delle parti, anziché per la via del ricorso (cambiamento della giurisprudenza). Art. 121 cpv. 1 LAMI. Imporre al ricorrente l'indicazione del grado d'invalidità a suo avviso determinante l'importo della rendita in lite ostacolerebbe soverchiamente l'applicazione del diritto federale.</w:t>
      </w:r>
    </w:p>
    <w:p>
      <w:pPr>
        <w:pStyle w:val="Heading2"/>
      </w:pPr>
      <w:r>
        <w:t>Erwägungen</w:t>
      </w:r>
    </w:p>
    <w:p>
      <w:r>
        <w:rPr>
          <w:b/>
        </w:rPr>
        <w:t>E. 1</w:t>
      </w:r>
    </w:p>
    <w:p>
      <w:r>
        <w:t>Die Verwaltungsgerichtsbeschwerde richtet sich gegen die Weigerung des Verwaltungsgerichts des Kantons Luzern, auf die Beschwerde in einer Streitigkeit um Leistungen der SUVA einzutreten. Angefochten ist also ein kantonaler Nichteintretensentscheid im Sinne des Art. 5 Abs. 1 lit. a VwVG (Art. 128 in Verbindung mit Art. 97 Abs. 1 OG ). Nach der Rechtsprechung ist die Verwaltungsgerichtsbeschwerde gegen die Anwendung kantonalen Rechtes durch den vorinstanzlichen Richter zulässig, wenn dieser damit sozialversicherungsrechtliche Vorschriften des Bundes verletzt BGE 101 V 220 S. 222 hat. Ein Nichteintretensentscheid, der sich auf kantonales Prozessrecht stützt, kann durch Verwaltungsgerichtsbeschwerde angefochten werden, wenn dieser Entscheid irrtümlich die Anwendung materiellen Bundesrechts verunmöglicht. Das Eidg. Versicherungsgericht kann indessen die Anwendung des kantonalen Verfahrensrechts nicht frei überprüfen. Denn einmal ist es an die vorinstanzliche Sachverhaltsfeststellung gebunden, wenn diese nicht offensichtlich mangelhaft ist ( Art. 105 Abs. 2 OG ). Sodann beschränkt Art. 104 lit. a OG die Überprüfungsbefugnis des Eidg. Versicherungsgerichts auf die Verletzung von Bundesrecht einschliesslich Überschreitung oder Missbrauch des Ermessens, d.h. also sehr oft auf die Verletzung von Art. 4 BV . Letzteres trifft vor allem auf dem Gebiete der obligatorischen Unfallversicherung zu, wo Art. 121 Abs. 1 KUVG den Kantonen nur ganz wenige Verfahrensregeln vorschreibt ( BGE 98 Ib 336 , BGE 98 V 164 , BGE 99 Ib 394 , BGE 99 V 56 und 184, BGE 100 Ib 370 ).</w:t>
      </w:r>
    </w:p>
    <w:p>
      <w:r>
        <w:rPr>
          <w:b/>
        </w:rPr>
        <w:t>E. 2</w:t>
      </w:r>
    </w:p>
    <w:p>
      <w:r>
        <w:t>a) Nach § 133 Abs. 1 des luzernischen Gesetzes über die Verwaltungsrechtspflege vom 3. Juli 1972 (VRG/LU) muss die Rechtsmittelschrift einen bestimmten Antrag und dessen Begründung enthalten. Bereits in BGE 99 V 185 Erw. 2 hat das Eidg. Versicherungsgericht festgestellt, dass diese Vorschrift - wie auch § 135 VRG/LU über die prozessualen Folgen der unterlassenen Behebung von richterlich gerügten Mängeln der Rechtsschriften - nicht bundesrechtswidrig und in Fällen wie dem vorliegenden anwendbar ist. b) In BGE 99 V 186 Erw. 3 hat das Eidg. Versicherungsgericht ferner § 155 VRG/LU, wonach das Verwaltungsgericht nicht über die Parteianträge hinausgehen darf, als in SUVA-Streitsachen zulässig bezeichnet. Daraus hat das Gericht geschlossen, der kantonale Richter sei befugt und verpflichtet, von einem Beschwerdeführer zu verlangen, dass er mindestens den Invaliditätsgrad angebe, der seines Erachtens für die Rentenbemessung den Ausschlag geben sollte.</w:t>
      </w:r>
    </w:p>
    <w:p>
      <w:r>
        <w:rPr>
          <w:b/>
        </w:rPr>
        <w:t>E. 3</w:t>
      </w:r>
    </w:p>
    <w:p>
      <w:r>
        <w:t>In den nicht veröffentlichten Urteilen i.S. De Nigris vom 20. März 1975 und Colasante vom 29. April 1975 bot sich dem Eidg. Versicherungsgericht erneut Gelegenheit, sich zur Frage der Bindung des kantonalen Richters an die Parteianträge zu äussern, weil das Luzerner Verwaltungsgericht die Auffassung vertreten hatte, Streitigkeiten gemäss Art. 120 KUVG seien kraft § 173 Abs. 2 VRG/LU keine Rechtsmittel-, BGE 101 V 220 S. 223 sondern Klagefälle, in denen der luzernische Richter nach § 171 Abs. 2 VRG/LU nicht über die Parteibegehren hinausgehen dürfe. Das Eidg. Versicherungsgericht hat auf Art. 80 lit. c VwVG hingewiesen, wonach die diesem Gesetz widersprechenden bundesrechtlichen Bestimmungen mit seinem Inkrafttreten am 1. Oktober 1969 aufgehoben sind; gleichzeitig hat das Gericht die Frage aufgeworfen, ob Art. 80 lit. c VwVG in Verbindung mit Art. 44 VwVG nicht bundesrechtlich festlege, dass die Verfügungen der SUVA - trotz des abweichenden Wortlautes in Art. 120 Abs. 2 KUVG und Art. 9 Vo II über die Unfallversicherung - nur noch mit Beschwerde angefochten werden können, was die SUVA selber annimmt.</w:t>
      </w:r>
    </w:p>
    <w:p>
      <w:r>
        <w:rPr>
          <w:b/>
        </w:rPr>
        <w:t>E. 4</w:t>
      </w:r>
    </w:p>
    <w:p>
      <w:r>
        <w:t>Diese Frage ist heute zu bejahen. Nach der Konzeption der Verwaltungsrechtspflege sind die Verfügungen im Sinne von Art. 5 Abs. 1 VwVG durch Beschwerde anfechtbar, was das VwVG klar zum Ausdruck bringt (vgl. Art. 44). Da die Bescheide der SUVA, die zu Streitigkeiten gemäss Art. 120 Abs. 1 lit. a KUVG Anlass geben können, Verfügungen im genannten Sinne darstellen, unterliegen sie der Beschwerde, ungeachtet des Umstandes, dass der Wortlaut der Art. 120 Abs. 2 KUVG und 9 Vo II über die Unfallversicherung bisher noch nicht formell dem VwVG angepasst worden ist (vgl. Art. 80 lit. c VwVG ). Deshalb ist die Auffassung der Vorinstanz, wonach Streitigkeiten gemäss Art. 120 Abs. 1 lit. a KUVG kraft § 173 Abs. 2 VRG/LU keine Rechtsmittel-, sondern Klagefälle seien, in denen der luzernische Richter nach § 171 Abs. 2 VRG/LU nicht über die Parteibegehren hinausgehen dürfe, bundesrechtswidrig. Hat die Vorinstanz demnach das materielle Recht unabhängig von den Parteibegehren anzuwenden, kann sie vom Rechtsuchenden nicht verlangen, dass er einzelne Elemente der von ihm beantragten Rente ziffernmässig spezifiziere. Es erschwert die Durchsetzung des materiellen Bundesrechts in ungebührlicher Weise und ist mit dem in Art. 121 Abs. 1 KUVG geforderten "möglichst einfachen und raschen Prozessweg" nicht vereinbar, wenn der kantonale Richter vom Beschwerdeführer die Angabe des Masses der eigenen Invalidität verlangt, das dieser selber weder kennt noch aussergerichtlich zuverlässig ermitteln lassen kann. Soweit BGE 99 V 183 diesen Grundsätzen widerspricht, kann an diesem Urteil nicht festgehalten werden. BGE 101 V 220 S. 224</w:t>
      </w:r>
    </w:p>
    <w:p>
      <w:r>
        <w:rPr>
          <w:b/>
        </w:rPr>
        <w:t>E. 5</w:t>
      </w:r>
    </w:p>
    <w:p>
      <w:r>
        <w:t>Die Sache ist nach dem Gesagten an die Vorinstanz zurückzuweisen, damit diese über den vom Beschwerdeführer unterbreiteten Antrag materiell befinde. Dispositiv Demnach erkennt das Eidg. Versicherungsgericht: Die Verwaltungsgerichtsbeschwerde wird gutgeheissen, der Entscheid des Verwaltungsgerichts des Kantons Luzern vom 25. April 1975 aufgehoben und die Sache an die Vorinstanz zurückgewiesen, damit diese im Sinne der Erwägungen verfahre.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