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w:t>
      </w:r>
    </w:p>
    <w:p>
      <w:r>
        <w:t>Bundesgericht (BGE), 1975-01-08, FR</w:t>
      </w:r>
    </w:p>
    <w:p>
      <w:r>
        <w:rPr>
          <w:b/>
        </w:rPr>
        <w:t xml:space="preserve">Quelle: </w:t>
      </w:r>
      <w:r>
        <w:t>https://mcp.opencaselaw.ch/entscheid/bge_BGE_101_V_17</w:t>
      </w:r>
    </w:p>
    <w:p>
      <w:r>
        <w:t>FR: ATF 101 V 17</w:t>
      </w:r>
    </w:p>
    <w:p>
      <w:r>
        <w:t>IT: DTF 101 V 17</w:t>
      </w:r>
    </w:p>
    <w:p>
      <w:pPr>
        <w:pStyle w:val="Heading2"/>
      </w:pPr>
      <w:r>
        <w:t>Regeste</w:t>
      </w:r>
    </w:p>
    <w:p>
      <w:r>
        <w:t>Regeste Art. 108 Abs. 2 und 132 OG. Unzulässigkeit der nicht begründeten Beschwerde. Art. 45 AHVG und 76 Abs. 1 AHVV. Voraussetzungen der Rentenauszahlung an Drittpersonen.</w:t>
      </w:r>
    </w:p>
    <w:p>
      <w:r>
        <w:t>Regeste Art. 108 al. 2 et 132 OJ. Irrecevabilité du recours non motivé. Art. 45 LAVS et 76 al. 1 RAVS. Conditions du paiement de la rente en main tierce.</w:t>
      </w:r>
    </w:p>
    <w:p>
      <w:r>
        <w:t>Regesto Art. 108 cpv. 2 e 132 OG. Inammissibilità del ricorso non motivato. Art. 45 LAVS e 76 cpv. 1 OAVS. Condizioni del pagamento della rendita a terza persona.</w:t>
      </w:r>
    </w:p>
    <w:p>
      <w:pPr>
        <w:pStyle w:val="Heading2"/>
      </w:pPr>
      <w:r>
        <w:t>Erwägungen</w:t>
      </w:r>
    </w:p>
    <w:p>
      <w:r>
        <w:rPr>
          <w:b/>
        </w:rPr>
        <w:t>E. 1</w:t>
      </w:r>
    </w:p>
    <w:p>
      <w:r>
        <w:t>En vertu des art. 108 al. 2 et 132 OJ, le recours de droit administratif doit contenir entre autres un exposé des motifs sur lesquels le recourant fonde ses conclusions. Si le Tribunal fédéral des assurances peut impartir au recourant un délai supplémentaire pour compléter des motifs peu clairs, il n'a pas la faculté de tenter de remédier par ce procédé à l'absence complète de motifs. Une motivation, même sommaire, doit lui être présentée avant l'expiration du délai légal de 30 jours prescrit par les art. 106 al. 1 et 132 OJ (art. 33 al. 1 OJ et RO 96 I 96 ainsi que l'arrêt non publié Aebi, rendu le 7 mai 1973 par le Tribunal fédéral des assurances). BGE 101 V 17 S. 19 En l'occurrence, le délai légal de recours contre le jugement du 21 mars 1974, notifié le 11 avril 1974, expirait à raison des féries de Pâques (art. 34 al. 1 lit. a OJ) le mardi 21 mai 1974. Le mémoire complémentaire du 8 juillet 1974 est donc inapte à réparer le vice de l'acte de recours du 29 avril 1974; il ne vaut que comme détermination sur le recours de l'Office fédéral des assurances sociales. Une restitution du délai ne saurait intervenir non plus, au regard des dispositions de l'art. 35 al. 1 OJ qui prescrivent que l'acte omis doit être exécuté dans les dix jours à compter de celui où l'empêchement d'agir a cessé, si tant est qu'on puisse admettre que le séjour hospitalier constituait un tel empêchement en l'espèce. En effet, d'une part, l'intéressé a pu agir le 29 avril 1974 et, d'autre part, il n'a complété l'acte de recours que plus d'un mois après sa sortie de l'hôpital. Le recours de Conrad Curiger est ainsi irrecevable, tandis que celui de l'Office fédéral des assurances sociales, déposé à temps et dans les formes requises, est recevable.</w:t>
      </w:r>
    </w:p>
    <w:p>
      <w:r>
        <w:rPr>
          <w:b/>
        </w:rPr>
        <w:t>E. 2</w:t>
      </w:r>
    </w:p>
    <w:p>
      <w:r>
        <w:t>L'art. 45 LAVS autorise le Conseil fédéral à prendre, après avoir consulté les cantons, les mesures propres à garantir que les rentes servent, si cela est nécessaire, à l'entretien du bénéficiaire et des personnes à sa charge. Usant de cette faculté, le Conseil fédéral a édicté l'art. 76 RAVS, dont l'alinéa 1 s'exprime en ces termes: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Selon l'Office fédéral des assurances sociales, la version française de la fin de cette disposition réglementaire ne correspondrait pas tout à fait à la version allemande, qui parle, elle, de "geeigneten Drittperson oder Behörde, die dem Rentenberechtigten gegenüber gesetzlich oder sittlich unterstützungspflichtig ist oder ihn dauernd fürsorgerisch betreut". Les mots "s'occuper de ses affaires en permanence" ne rendraient pas l'idée d'assistance contenue dans l'expression "dauernd BGE 101 V 17 S. 20 fürsorgerisch betreuen". L'autorité de surveillance semble proposer, en se fondant sur la version allemande, de circonscrire l'application de l'art. 76 al. 1 RAVS aux cas où les intéressés sont assistés économiquement en permanence. Or il n'y a en réalité aucune discordance entre les textes, français et allemand, susmentionnés: l'idée de l'assistance financière, en tant que condition du versement de la rente en main tierce, est exprimée dans la première partie de la norme réglementaire, où l'exigence d'une aide permanente n'apparaît pas. La désignation des tiers destinataires dans la seconde partie de la phrase n'implique en revanche pas nécessairement de la part de ces tiers eux-mêmes une telle assistance. Sinon, on ne comprendrait pas pourquoi la disposition ici en discussion distingue à cet égard les tiers ou autorité qualifiés ayant un devoir d'assistance, d'une part, et, d'autre part, les tiers ou autorité qualifiés s'occupant des affaires de l'assuré en permanence; la "fürsorgerische Betreuung" signifie simplement le fait de seconder l'intéressé dans la gestion de ses affaires, mais de façon permanente. Quant aux conditions qui doivent être réunies pour que l'art. 76 al. 1 RAVS soit applicable, le Tribunal fédéral des assurances a jugé que la rente peut être payée en main tierce lorsque le rentier n'a pas encore épuisé toutes ses ressources, au point de tomber à la charge de l'assistance, mais qu'il est sur cette voie ou qu'il risque d'user de sa rente de telle manière que les personnes tenues de l'assister, au sens large du terme, verraient leurs démarches et leurs peines notablement accrues. Il s'agissait en l'occurrence d'une rentière alcoolique, chez laquelle la boisson provoquait des troubles mentaux (RCC 1957 p. 133). La Cour de céans a précisé d'autre part que le fait de recevoir des prestations de l'assistance publique ne justifie pas à lui seul le versement de la rente en main de la commune (RCC 1950 p. 34, 1948 p. 474) et que le placement dans un asile n'exclut pas à lui seul un paiement direct au rentier (RCC 1949 p. 391). Enfin, dans ses Directives concernant les rentes, l'Office fédéral des assurances sociales consacre un chapitre au problème du destinataire de la rente, sous les chiffres marginaux 1073 à 1104. Sous chiffre 1073, il rappelle que le paiement direct à l'ayant droit personnellement est la règle. Sous chiffre BGE 101 V 17 S. 21 1099, que le versement en main tierce doit être ordonné seulement lorsqu'il est certain, sur la foi d'une requête sérieusement motivée et soigneusement contrôlée, que les conditions de l'art. 76 RAVS sont remplies.</w:t>
      </w:r>
    </w:p>
    <w:p>
      <w:r>
        <w:rPr>
          <w:b/>
        </w:rPr>
        <w:t>E. 3</w:t>
      </w:r>
    </w:p>
    <w:p>
      <w:r>
        <w:t>Dans le cas de Conrad Curiger, il faut admettre avec l'Office fédéral des assurances sociales que la caisse de compensation a pris sur des bases insuffisantes sa décision de verser la rente à la Résidence S. Tout ce qu'on sait en effet, c'est que le prénommé fait des difficultés pour payer les factures de l'institution et que, selon elle, il lui devait 2'705 fr. 20 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 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