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452 vom 1. Januar 1975</w:t>
      </w:r>
    </w:p>
    <w:p>
      <w:r>
        <w:t>Bundesgericht (BGE), 1975-01-01, FR</w:t>
      </w:r>
    </w:p>
    <w:p>
      <w:r>
        <w:rPr>
          <w:b/>
        </w:rPr>
        <w:t xml:space="preserve">Quelle: </w:t>
      </w:r>
      <w:r>
        <w:t>https://mcp.opencaselaw.ch/entscheid/bge_BGE_101_Ib_452</w:t>
      </w:r>
    </w:p>
    <w:p>
      <w:r>
        <w:t>FR: BGE BGE 101 Ib 452 du 1 janvier 1975</w:t>
      </w:r>
    </w:p>
    <w:p>
      <w:r>
        <w:t>IT: BGE BGE 101 Ib 452 del 1 gennaio 1975</w:t>
      </w:r>
    </w:p>
    <w:p>
      <w:pPr>
        <w:pStyle w:val="Heading2"/>
      </w:pPr>
      <w:r>
        <w:t>Regeste</w:t>
      </w:r>
    </w:p>
    <w:p>
      <w:r>
        <w:t>Regeste Art. 103 OG, Art. 38 StGB. Beschwerdebefugnis. Obschon der Gefangene nicht frei ist, die bedingte Entlassung, die eine Art des Strafvollzugs ist, anzunehmen oder abzulehnen, kann er mit Verwaltungsgerichtsbeschwerde geltend machen, dass der angefochtene Entscheid nicht dem Gesetz entspreche (Erw. 1). Art. 38 Ziff. 3 StGB. Weisungen. 1. Es ist grundsätzlich angezeigt, einen Alkoholiker während der Probezeit unter die Aufsicht der Alkoholikerfürsorge zu stellen (Erw. 2 und 3). 2. Die kategorische Ablehnung einer Weisung durch den bedingt Entlassenen kann nicht ausser acht gelassen werden. Vielmehr ist zu prüfen, ob eine günstige Voraussage trotzdem möglich ist, indem die bedingte Entlassung mit anderen Weisungen verbunden wird (Erw. 3).</w:t>
      </w:r>
    </w:p>
    <w:p>
      <w:r>
        <w:t>Regeste Art. 103 OJ, art. 38 CP. Qualité pour recourir. Bien que le détenu n'ait pas la liberté d'accepter ou de refuser la libération conditionnelle, qui est une modalité d'exécution de la peine, il peut faire valoir par la voie du recours de droit administratif que la décision dont il est l'objet n'est pas conforme à la loi (consid. 1). Art. 38 ch. 3 CP. Règles de conduite. 1. Il est en principe indiqué de soumettre un détenu alcoolique au contrôle de l'Office antialcoolique durant le délai d'épreuve (consid. 2 et 3). 2. On ne peut faire abstraction du refus catégorique formulé par le détenu libéré conditionnellement à l'encontre d'une règle de conduite. Il convient dans ce cas d'examiner si un pronostic favorable peut néanmoins être posé, en assortissant la libération d'autres règles de conduite (consid. 3).</w:t>
      </w:r>
    </w:p>
    <w:p>
      <w:r>
        <w:t>Regesto Art. 103 OG, art. 38 CP. Legittimazione ricorsuale. Pur non essendo libero di accettare o rifiutare la liberazione condizionale, la quale è una modalità d'esecuzione della pena, il detenuto può far valere mediante ricorso di diritto amministrativo che la decisione di cui è oggetto non è conforme alla legge (consid. 1). Art. 38 n. 3 CP. Norme di condotta. 1. È in linea di principio indicato sottoporre durante il periodo di prova un detenuto alcolizzato al controllo del servizio competente per l'assistenza agli alcolizzati (consid. 2 e 3). 2. Non si può ignorare il rifiuto categorico formulato dal detenuto liberato condizionalmente di attenersi ad una determinata norma di condotta. In tal caso è d'uopo esaminare se un pronostico favorevole sia ciononostante possibile subordinando la liberazione condizionale ad altre norme di condotta (consid. 3).</w:t>
      </w:r>
    </w:p>
    <w:p>
      <w:pPr>
        <w:pStyle w:val="Heading2"/>
      </w:pPr>
      <w:r>
        <w:t>Erwägungen</w:t>
      </w:r>
    </w:p>
    <w:p>
      <w:r>
        <w:rPr>
          <w:b/>
        </w:rPr>
        <w:t>E. 1</w:t>
      </w:r>
    </w:p>
    <w:p>
      <w:r>
        <w:t>La libération conditionnelle ne constitue ni un droit, ni une faveur, ni un acte de clémence ou de grâce que le condamné peut refuser ou accepter à son gré. Il s'agit d'une véritable modalité d'exécution de la peine (SCHWANDER, Commentaire, n. 352; Bolle, in Stabilité et dynamisme du droit dans la jurisprudence du Tribunal fédéral, p. 255). En revanche, il n'est pas interdit au détenu de faire valoir par la voie du recours administratif au Tribunal fédéral que la décision dont il est l'objet n'est pas conforme à la loi. En effet, il a un droit digne de protection à faire annuler une décision qui ne lui accorderait qu'une liberté illusoire, si elle est assortie de conditions qu'il juge inacceptables (cf. art. 103 OJ). Le recours est donc recevable.</w:t>
      </w:r>
    </w:p>
    <w:p>
      <w:r>
        <w:rPr>
          <w:b/>
        </w:rPr>
        <w:t>E. 2</w:t>
      </w:r>
    </w:p>
    <w:p>
      <w:r>
        <w:t>En vertu de l'art. 38 ch. 3 CP, l'autorité compétente peut imposer au libéré, durant le délai d'épreuve, des règles de conduite, notamment quant au contrôle médical ou à l'abstention de boissons alcooliques. La fixation de ces règles de conduite relève du pouvoir d'appréciation de l'autorité compétente. Et le Tribunal fédéral, en tant que juridiction administrative, s'il peut revoir les faits, s'interdit de substituer sa propre appréciation à celle de l'autorité cantonale et se borne à vérifier que celle-ci n'a pas abusé de son pouvoir appréciateur (RO 98 Ib 171 et 176; arrêts non publiés Falcy, A 606/75; Curchod, A 631/74). Il n'intervient qu'en cas d'excès du pouvoir d'appréciation, par exemple si la décision entreprise repose sur des considérations étrangères à l'institution (RO 98 Ib 107). Dans le cas de la fixation de règles de conduite, le Tribunal fédéral ne peut ainsi intervenir qu'au cas où la règle imposée apparaît comme manifestement inadaptée au cas du libéré ou choisie de façon arbitraire.</w:t>
      </w:r>
    </w:p>
    <w:p>
      <w:r>
        <w:rPr>
          <w:b/>
        </w:rPr>
        <w:t>E. 3</w:t>
      </w:r>
    </w:p>
    <w:p>
      <w:r>
        <w:t>En l'espèce, on ne saurait dire que la Commission de libération a imposé au recourant une règle de conduite inadaptée BGE 101 Ib 452 S. 455 au vu des éléments dont elle disposait. S'agissant d'un alcoolique impénitent, qui présente sous l'influence de l'alcool un risque important de récidive, il était tout indiqué de rechercher la règle de conduite propre à permettre l'établissement d'un pronostic favorable, condition essentielle de la libération anticipée (art. 38 ch. 1 al. 1 dernière phrase). Toutefois, l'autorité administrative, même de recours, doit en principe statuer ex nunc, chaque fois qu'elle est amenée à prendre une décision (cf. RO 58 I 370, 98 Ib 176 consid. 4, 98 Ib 179 consid. 2 lit. c et cit.; GRISEL, Droit administratif suisse, p. 510 lit. a in fine). Il convient dès lors de tenir compte de la déclaration de volonté clairement exprimée, par laquelle le recourant se refuse dès l'abord et très fermement à se soumettre au contrôle de l'Office de surveillance antialcoolique. Comme il n'est pas possible dans ces conditions et selon l'expérience de la vie, d'espérer qu'un alcoolique qui a subi sans succès durable deux cures de désintoxication pourra respecter la règle de conduite en cause, il faut bien admettre que le pronostic favorable posé par l'autorité cantonale ne peut être confirmé en l'état. Le recours doit donc être admis et la cause renvoyée à la Commission de libération pour qu'elle examine s'il est possible de faire néanmoins confiance au recourant, en lui fixant d'autres règles de conduite.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