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138 vom 1. Januar 1975</w:t>
      </w:r>
    </w:p>
    <w:p>
      <w:r>
        <w:t>Bundesgericht (BGE), 1975-01-01, DE</w:t>
      </w:r>
    </w:p>
    <w:p>
      <w:r>
        <w:rPr>
          <w:b/>
        </w:rPr>
        <w:t xml:space="preserve">Quelle: </w:t>
      </w:r>
      <w:r>
        <w:t>https://mcp.opencaselaw.ch/entscheid/bge_BGE_101_Ib_138</w:t>
      </w:r>
    </w:p>
    <w:p>
      <w:r>
        <w:t>FR: BGE BGE 101 Ib 138 du 1 janvier 1975</w:t>
      </w:r>
    </w:p>
    <w:p>
      <w:r>
        <w:t>IT: BGE BGE 101 Ib 138 del 1 gennaio 1975</w:t>
      </w:r>
    </w:p>
    <w:p>
      <w:pPr>
        <w:pStyle w:val="Heading2"/>
      </w:pPr>
      <w:r>
        <w:t>Regeste</w:t>
      </w:r>
    </w:p>
    <w:p>
      <w:r>
        <w:t>Regeste Art. 6 Abs. 2 lit. a BB über den Erwerb von Grundstücken durch Personen im Ausland. Ein berechtigtes Interesse am Erwerb eines Grundstückes zur Abrundung oder baulichen Vergrösserung einer Ferienhausliegenschaft ist zu bejahen, wenn besondere Gründe die Erweiterung als gerechtfertigt erscheinen lassen und die Gesamtfläche von Stammparzelle und zugekauftem Boden das für eine Ferienhausliegenschaft übliche Mass nicht überschreitet.</w:t>
      </w:r>
    </w:p>
    <w:p>
      <w:r>
        <w:t>Regeste Art. 6 al. 2 lettre a de l'arrêté fédéral sur l'acquisition d'immeubles par des personnes domiciliées à l'étranger. On peut reconnaître le caractère d'intérêt légitime à l'acquisition d'un bien-fonds destiné à arrondir une propriété sur laquelle se trouve une maison de vacances ou à agrandir une telle construction, lorsque des motifs spéciaux font apparaître un tel agrandissement comme justifié et que la surface totale de la parcelle primitive et du terrain acquis ultérieurement ne dépasse pas les dimensions habituelles d'une propriété servant au séjour de vacances.</w:t>
      </w:r>
    </w:p>
    <w:p>
      <w:r>
        <w:t>Regesto Art. 6 cpv. 2 lett. a DF sull'acquisito di fondi da parte di persone all'estero. Può essere riconosciuto un interesse legittimo all'acquisto di un fondo destinato ad arrotondare un terreno su cui è ubicata una casa di vacanza o ad accrescere il volume di quest'ultima, allorquando motivi speciali giustifichino tale ampliamento e la superficie complessiva della particella originaria e del terreno acquistato ulteriormente non ecceda le dimensioni abituali di un fondo adibito a casa di vacanza.</w:t>
      </w:r>
    </w:p>
    <w:p>
      <w:pPr>
        <w:pStyle w:val="Heading2"/>
      </w:pPr>
      <w:r>
        <w:t>Erwägungen</w:t>
      </w:r>
    </w:p>
    <w:p>
      <w:r>
        <w:rPr>
          <w:b/>
        </w:rPr>
        <w:t>E. 1</w:t>
      </w:r>
    </w:p>
    <w:p>
      <w:r>
        <w:t>Ob Theo Boosten Anspruch auf Erteilung der Bewilligung zum Erwerb der Parzelle Nr. 4-56 in Saas i.P. hat, entscheidet sich in erster Linie nach Massgabe der heute geltenden gesetzlichen Vorschriften über den Grundstückserwerb durch Personen im Ausland. Ob Boosten die Bewilligung schon deshalb zu erteilen ist, weil deren Verweigerung gegen den Grundsatz von Treu und Glauben verstossen würde, braucht nur entschieden zu werden, wenn die erste Frage auf Grund jener Bestimmungen verneint werden muss. Massgebend ist Art. 6 Abs. 2 lit. a BewB in der Fassung vom 21. März 1973. Danach ist ein berechtigtes Interesse am Erwerb eines Grundstückes anzunehmen: "a) wenn das zu erwerbende Grundstück in erster Linie dem Aufenthalt des Erwerbers oder seiner Familie dient, der Erwerber es auf seinen persönlichen Namen erwirbt und er, sein Ehegatte oder seine minderjährigen Kinder kein anderes diesem Zwecke dienendes Grundstück in der Schweiz erworben haben und ausserdem eine der folgenden Voraussetzungen erfüllt ist: 1... 2...</w:t>
      </w:r>
    </w:p>
    <w:p>
      <w:r>
        <w:rPr>
          <w:b/>
        </w:rPr>
        <w:t>E. 3</w:t>
      </w:r>
    </w:p>
    <w:p>
      <w:r>
        <w:t>Boosten hat sein Interesse am Erwerb der Parzelle Nr. 4-56 damit begründet, dass er diese für den Bau einer Garage und von zwei Wohnräumen in einem Zwischentrakt zwischen Garage und dem bestehenden Ferienhaus verwenden wolle. Er ist dabei zu behaften; auf jeden Fall darf auf dem Grundstück Nr. 4-56 kein selbständiges Wohn- oder Ferienhaus erstellt werden. In diesem Sinne ist ein berechtigtes Interesse am Erwerb der Parzelle Nr. 4-56 anzunehmen.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