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542 vom 17. Dezember 1975</w:t>
      </w:r>
    </w:p>
    <w:p>
      <w:r>
        <w:t>Bundesgericht (BGE), 1975-12-17, DE</w:t>
      </w:r>
    </w:p>
    <w:p>
      <w:r>
        <w:rPr>
          <w:b/>
        </w:rPr>
        <w:t xml:space="preserve">Quelle: </w:t>
      </w:r>
      <w:r>
        <w:t>https://mcp.opencaselaw.ch/entscheid/bge_BGE_101_Ia_542</w:t>
      </w:r>
    </w:p>
    <w:p>
      <w:r>
        <w:t>FR: BGE BGE 101 Ia 542 du 17 décembre 1975</w:t>
      </w:r>
    </w:p>
    <w:p>
      <w:r>
        <w:t>IT: BGE BGE 101 Ia 542 del 17 dicembre 1975</w:t>
      </w:r>
    </w:p>
    <w:p>
      <w:pPr>
        <w:pStyle w:val="Heading2"/>
      </w:pPr>
      <w:r>
        <w:t>Regeste</w:t>
      </w:r>
    </w:p>
    <w:p>
      <w:r>
        <w:t>Regeste Art. 88 OG. Legitimation zur staatsrechtlichen Beschwerde gegen die Genehmigung eines kommunalen Gestaltungsplanes.</w:t>
      </w:r>
    </w:p>
    <w:p>
      <w:r>
        <w:t>Regeste Art. 88 OJ. Qualité pour former un recours de droit public contre l'approbation d'un plan de quartier communal.</w:t>
      </w:r>
    </w:p>
    <w:p>
      <w:r>
        <w:t>Regesto Art. 88 OG. Legittimazione a proporre ricorso di diritto pubblico contro l'approvazione di un piano comunale di quartiere.</w:t>
      </w:r>
    </w:p>
    <w:p>
      <w:pPr>
        <w:pStyle w:val="Heading2"/>
      </w:pPr>
      <w:r>
        <w:t>Erwägungen</w:t>
      </w:r>
    </w:p>
    <w:p>
      <w:r>
        <w:rPr>
          <w:b/>
        </w:rPr>
        <w:t>E. 2</w:t>
      </w:r>
    </w:p>
    <w:p>
      <w:r>
        <w:t>Die Beschwerdeführer sind nicht Eigentümer von Grundstücken oder Miteigentümer von Gebäuden, die vom Gestaltungsplan erfasst werden. Sie sind zur Anfechtung des Planes nur legitimiert, soweit sie durch diesen in ihrer Rechtslage betroffen sind. Das könnte dann zutreffen, wenn sie der Plan in der baulichen Ausnützung ihres Grundstücks unzulässig beschränkte oder wenn von im Plan vorgesehenen Bauten übermässige Auswirkungen auf jene Grundstücke entständen, deren Miteigentümer die Beschwerdeführer sind (vgl. BGE 89 I 403 E. 2 und BGE 99 Ia 254 E. 4; nicht veröffentlichtes Urteil vom 27. Juni 1973 i.S. Dubach, E. 1). Die Beschwerdeführer behaupten, sie würden von der geplanten künftigen Überbauung, wie sie der angefochtene Gestaltungsplan Rigiblick vorsehe, unmittelbar berührt. Wie die Beschwerdegegner mit Recht ausführen, legen die Beschwerdeführer aber nicht dar, dass und inwiefern sie tatsächlich in eigenen, rechtlich geschützten Interessen betroffen sind. Sie behaupten, auf dem Plangebiet seien Wohngebäude projektiert, die in einer zu geringen Distanz von der geplanten Talstrasse entfernt seien, sodass sich für die künftigen Bewohner dieser Gebäude übermässige Immissionen ergeben könnten. Dadurch, dass allenfalls in Zukunft Bewohner von im Plan vorgesehenen Gebäuden durch übermässigen Autolärm belästigt werden könnten, sind aber nicht die Beschwerdeführer in ihren Rechten verletzt. Diese wollen ihre Legitimation wohl auch mit dem Hinweis begründen, später müssten vermutlich entlang der projektierten Talstrasse T 2 Lärmschutzvorrichtungen geschaffen werden, deren Kosten aus Steuergeldern zu decken wären. Sie führen ferner aus, ein Grundeigentümer habe einen Anspruch darauf, im Rahmen eines rechtskräftigen Gestaltungsplans zu bauen, und wenn die Behörde in Zukunft die Erstellung einer projektierten Baute mit Rücksicht auf die Lärmimmission untersagte, könnten daraus massive Entschädigungsansprüche des betroffenen Grundeigentümers entstehen. Die Beschwerdeführer hätten demnach auch als Bürger und Steuerzahler ein legitimes Interesse daran, dass der Plan Rigiblick nicht genehmigt werde. Nach der bundesgerichtlichen Rechtsprechung genügt aber das Interesse eines Steuerzahlers in Fällen wie BGE 101 Ia 542 S. 544 hier nicht, um die Legitimation zur staatsrechtlichen Beschwerde zu verschaffen ( BGE 59 I 121 mit Hinweisen). Die Beschwerdeführer berufen sich ferner auf den Landschaftsschutz und die Raumplanung, um die Mangelhaftigkeit des Planes darzutun. Das sind aber öffentliche Interessen, zu deren Wahrung dem Bürger die staatsrechtliche Beschwerde nicht zur Verfügung steht ( BGE 96 I 626 E. 3). Allenfalls wollen die Beschwerdeführer auch geltend machen, sie seien deshalb zur staatsrechtlichen Beschwerde legitimiert, weil sie im kantonalen Verfahren als Partei teilnahmen. Die Legitimation zur staatsrechtlichen Beschwerde bestimmt sich aber ausschliesslich nach dem Bundesgesetz über die Organisation der Bundesrechtspflege und nicht danach, ob ein Beschwerdeführer im kantonalen Verfahren Parteistellung hatte ( BGE 99 Ia 225 , BGE 98 Ia 5 ). Auf die materiellen Rügen der Beschwerdeführer ist demnach nicht einzutreten, weil diesen dazu die Legitimation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