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414</w:t>
      </w:r>
    </w:p>
    <w:p>
      <w:r>
        <w:t>Bundesgericht (BGE), 1975-01-01, DE</w:t>
      </w:r>
    </w:p>
    <w:p>
      <w:r>
        <w:rPr>
          <w:b/>
        </w:rPr>
        <w:t xml:space="preserve">Quelle: </w:t>
      </w:r>
      <w:r>
        <w:t>https://mcp.opencaselaw.ch/entscheid/bge_BGE_101_IV_414</w:t>
      </w:r>
    </w:p>
    <w:p>
      <w:r>
        <w:t>FR: ATF 101 IV 414</w:t>
      </w:r>
    </w:p>
    <w:p>
      <w:r>
        <w:t>IT: DTF 101 IV 414</w:t>
      </w:r>
    </w:p>
    <w:p>
      <w:pPr>
        <w:pStyle w:val="Heading2"/>
      </w:pPr>
      <w:r>
        <w:t>Regeste</w:t>
      </w:r>
    </w:p>
    <w:p>
      <w:r>
        <w:t>Regeste Art. 15 Abs. 3 VRV. Ob eine Verzweigung oder nur die Einmündung eines Nebensträsschens ohne Vortrittsrecht vorliegt, beurteilt sich ausser nach Anlage und Grösse auch nach der Verkehrsbedeutung. Dabei kommt es für das massgebende Verkehrsgefälle auf die Verkehrsfrequenz beider Strassen an.</w:t>
      </w:r>
    </w:p>
    <w:p>
      <w:r>
        <w:t>Regeste Art. 15 al. 3 OCR. Savoir si l'on est en présence d'une intersection ou du débouché d'un chemin ou d'une voie d'accès sans priorité ne dépend pas seulement de l'aménagement ou de la largeur de ceux-ci, mais également de l'importance qu'ils représentent au point de vue du trafic. A cet égard, il faut prendre en considération l'importance respective du trafic sur les deux routes en présence.</w:t>
      </w:r>
    </w:p>
    <w:p>
      <w:r>
        <w:t>Regesto Art. 15 cpv. 3 ONCS. Per stabilire se ci si trovi in presenza di un'intersezione oppure soltanto dello sbocco di una stradina secondaria che non dà luogo a diritto di precedenza, ci si deve fondare, oltre che sulle caratteristiche e sulla larghezza di ambedue, anche sulla rispettiva importanza dal punto di vista del traffico. A tale riguardo la differenza determinante di traffico risulta dalla contrapposizione di quello di ognuna delle due strade.</w:t>
      </w:r>
    </w:p>
    <w:p>
      <w:pPr>
        <w:pStyle w:val="Heading2"/>
      </w:pPr>
      <w:r>
        <w:t>Erwägungen</w:t>
      </w:r>
    </w:p>
    <w:p>
      <w:r>
        <w:rPr>
          <w:b/>
        </w:rPr>
        <w:t>E. 1</w:t>
      </w:r>
    </w:p>
    <w:p>
      <w:r>
        <w:t>Die Vorinstanz vertritt den Standpunkt, es handle sich beim Bäumbergweg um eine Sackgasse, deren Einmündung in die Bäumbergstrasse keine Verzweigung im Rechtssinne darstelle; während dieser Strasse noch eine gewisse Bedeutung als Quartierstrasse zukomme, erschliesse die Sackgasse nur vier Häuser; zum Einmünden in die Bäumbergstrasse müsse zudem ein Trottoir überquert werden; bei einem unbefangenen objektiven Betrachter erwecke deshalb die Sackgasse nicht den Eindruck, dass ihr "verkehrstechnische Bedeutung" zukomme; der auf der Bäumbergstrasse fahrende M. habe daher den Vortritt gehabt. Der Beschwerdeführer rügt diese Betrachtungsweise als gesetzwidrig. Er anerkennt zwar, dass die Qualifikation der Bäumbergstrasse als einer blossen Quartierstrasse das Richtige trifft, stellt sich jedoch auf den Standpunkt, der nur um 40 cm weniger breite Bäumbergweg sei seinerseits eine dem öffentlichen Verkehr uneingeschränkt geöffnete Strasse, auch wenn an ihm nur vier Häuser stünden und er deshalb gegenüber der Bäumbergstrasse einen zahlenmässig geringeren Verkehr aufweise. BGE 101 IV 414 S. 416 M. habe mit der Einmündung rechnen müssen, zumal er ortskundiger Bewohner des Quartiers sei. Es sei deshalb dem Beschwerdeführer der Vortritt zugestanden, woran die durchgehende Gestaltung des Trottoirs nichts geändert habe.</w:t>
      </w:r>
    </w:p>
    <w:p>
      <w:r>
        <w:rPr>
          <w:b/>
        </w:rPr>
        <w:t>E. 2</w:t>
      </w:r>
    </w:p>
    <w:p>
      <w:r>
        <w:t>Der Bäumbergweg steht, was weder die Vorinstanz noch der Generalprokurator in Abrede gestellt haben, dem öffentlichen Verkehr uneingeschränkt offen. Die Benützer dieses Weges sind deshalb gegenüber den von links auf der Bäumbergstrasse verkehrenden Fahrzeugführern beim Einbiegen in diese Strasse vortrittsberechtigt, es sei denn, der Vortritt sei durch eine entsprechende Signalisation aufgehoben oder der genannte Weg falle unter die Bestimmung des Art. 15 Abs. 3 VRV und bilde deswegen mit der Bäumbergstrasse keine Verzweigung. Die erste Voraussetzung ist hier nicht erfüllt. Zu prüfen bleibt deshalb die Anwendung der letztgenannten Bestimmung auf den vorliegenden Fall. a) Nach Art. 15 Abs. 3 VRV ist, wer aus Fabrik-, Hof- oder Garageausfahrten, aus Feldwegen, Parkplätzen oder Tankstellen und dergleichen auf eine Haupt- oder Nebenstrasse fährt, zur Gewährung des Vortritts verpflichtet. Der Bäumbergweg stellt weder eine Fabrik- noch eine Hof- oder Garageausfahrt dar, noch ist er ein Feldweg oder eine Ausfahrt aus einem Parkplatz oder einer Tankstelle. Dass es sich um eine Sackgasse handelt, ist unerheblich; eine Sackgasse ist nicht stets ein Feldweg oder eine Ausfahrt ( BGE 96 IV 37 unten; SCHULTZ, Die strafrechtliche Rechtsprechung zum neuen Strassenverkehrsrecht 1968-1972, S. 127 unten). Es kann sich deshalb aufgrund des Wortlauts der genannten Bestimmung ("und dergleichen") nur fragen, ob der genannte Weg aus andern Gründen so beschaffen ist, dass er den im Gesetz aufgeführten Beispielen gleichgestellt werden muss. b) Die Rechtsprechung hat schon unter der Herrschaft des MFG entschieden, dass Seitensträsschen und Gassen beim Zusammentreffen mit Durchgangsstrassen keine Verzweigung bilden, wenn sie nach Anlage und Grössenordnung offensichtlich nicht für den durchgehenden Verkehr bestimmt und im Verhältnis zur Durchgangsstrasse praktisch ohne Verkehrsbedeutung sind ( BGE 84 IV 35 , BGE 86 IV 188 Erw. 1). Diese Praxis wurde seit dem Inkrafttreten des SVG weitergeführt ( BGE 92 IV 27 , BGE 96 IV 37 , BGE 99 IV 223 ). Der Akzent wurde dabei einerseits BGE 101 IV 414 S. 417 auf die Bedeutung der einen Verkehrsader als einer Durchgangsstrasse mit erheblichem Verkehr gelegt (s. insbesondere BGE 96 IV 37 Erw. 2: "Or seules ces dernières (routes de grand transit) donnent la priorité à l'égard des rues et chemins latéraux manifestement dépourvus d'intérêt pratique pour la circulation"; s. auch BUSSY/RUSCONI, N. 3.5 c, S. 150, zu Art. 36) und anderseits auf die praktische Bedeutungslosigkeit des in sie einmündenden Verkehrswegs. Damit wurde das grosse Verkehrsgefälle zum Kriterium dafür erhoben, ob eine Verzweigung im Rechtssinne gegeben sei oder nicht. Die Frage, ob eine solche Verzweigung vorliegt, beurteilt sich demnach in concreto nicht einzig danach, ob der eine Verkehrsweg erkennbar eine geringe Verkehrsbedeutung hat, sondern ebenso sehr danach, ob die Strasse, in die er einmündet, dem Durchgangsverkehr dient und deshalb eine erheblich grössere Verkehrsfrequenz aufweist. c) Für den vorliegenden Fall stellt die Vorinstanz fest, dass die Bäumbergstrasse nur eine Quartierstrasse ist. Sie dient somit nicht dem Durchgangsverkehr und weist demnach auch erkennbar nicht ein entsprechend grosses Verkehrsvolumen auf. Anderseits ist freilich der Bäumbergweg nur eine etwas mehr als 60 m lange Sackgasse, an welcher vier Wohnhäuser liegen; sie wird deshalb vorwiegend bloss von den Anwohnern benutzt und dient überdies dem Zubringerdienst. Ihre Verkehrsbedeutung ist für sich allein betrachtet unzweifelhaft klein. Indessen ist das Verkehrsgefälle zwischen den beiden Verkehrswegen keineswegs so erheblich, wie es nach der bisherigen Praxis gegeben sein müsste, um eine Verzweigung zu verneinen und von der elementaren Regel des Rechtsvortritts abzuweichen. Dazu kommt, dass die beiden Strassen beinahe gleich breit und beide asphaltiert sind, so dass sie sich auch nach Anlage und Grösse nicht offenkundig unterscheiden (s. BGE 96 IV 37 Erw. 1). Dass der Bäumbergweg in der Einmündungszone über ein mit der Strasse niveaugleiches Trottoir führt, könnte höchstens zusammen mit andern äusserlich in Erscheinung tretenden Unterscheidungsfaktoren als Indiz für einen gegenüber der Strasse völlig unbedeutenden Verkehrsweg wirken. Für sich allein aber vermag dieser Umstand die Vortrittsordnung nicht zu beeinflussen ( BGE 81 IV 294 ). Schliesslich verhält es sich hier auch nicht wie in dem in BGE 84 IV 35 beurteilten Falle, wo die Einmündung in einem blossen BGE 101 IV 414 S. 418 Mauerdurchbruch bestand, der sie höchstens als Garage- oder Hauseinfahrt erscheinen liess. Sodann ist der Bäumbergweg auch nicht vergleichbar mit einem 3,5 m breiten, durch einen Baumgarten führenden Weg mit Naturbelag, wie er in dem in SJZ 1970 S. 108 veröffentlichten kantonalen Entscheid eine Rolle spielte. Dass die Sicht des auf der Bäumbergstrasse in Richtung Thungschneit fahrenden Strassenbenützers wegen der Strassenbiegung eine beschränkte ist, ändert am Gesagten nichts. Auf nicht als vortrittsberechtigt signalisierten Strassen muss der Führer damit rechnen, dass in dem seiner Sicht entzogenen Raum von rechts eine andere Strasse einmünden könnte. Er darf daher nicht ohne Rücksicht darauf zufahren.</w:t>
      </w:r>
    </w:p>
    <w:p>
      <w:r>
        <w:rPr>
          <w:b/>
        </w:rPr>
        <w:t>E. 3</w:t>
      </w:r>
    </w:p>
    <w:p>
      <w:r>
        <w:t>Nach dem Gesagten war deshalb X. vortrittsberechtigt, was zur Aufhebung des angefochtenen Urteils führt. Da die Vorinstanz nicht geprüft hat, ob der Beschwerdeführer als Vortrittsberechtigter die gebotene Sorgfalt an den Tag gelegt hat, ist die Sache zu neuer Entscheidung zurückzuweisen. Sofern das kantonale Verfahrensrecht es zulässt, wird sie deshalb jene Frage beantworten müssen. Dabei wird sie auch zu prüfen haben, ob der Zusammenstoss nicht auf übersetzte Geschwindigkeit des M. zurückzuführen war, mit anderen Worten, ob die Fahrweise des Beschwerdeführers nicht zumindest dann dem Gesetz genügt hätte, wenn M. den Verhältnissen entsprechend gefahren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