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317</w:t>
      </w:r>
    </w:p>
    <w:p>
      <w:r>
        <w:t>Bundesgericht (BGE), 1975-01-01, DE</w:t>
      </w:r>
    </w:p>
    <w:p>
      <w:r>
        <w:rPr>
          <w:b/>
        </w:rPr>
        <w:t xml:space="preserve">Quelle: </w:t>
      </w:r>
      <w:r>
        <w:t>https://mcp.opencaselaw.ch/entscheid/bge_BGE_101_IV_317</w:t>
      </w:r>
    </w:p>
    <w:p>
      <w:r>
        <w:t>FR: ATF 101 IV 317</w:t>
      </w:r>
    </w:p>
    <w:p>
      <w:r>
        <w:t>IT: DTF 101 IV 317</w:t>
      </w:r>
    </w:p>
    <w:p>
      <w:pPr>
        <w:pStyle w:val="Heading2"/>
      </w:pPr>
      <w:r>
        <w:t>Regeste</w:t>
      </w:r>
    </w:p>
    <w:p>
      <w:r>
        <w:t>Regeste Art. 397 StGB, Wiederaufnahme des Verfahrens. Erheblich sind auch neue Tatsachen und Beweismittel, die bloss eine Änderung im Schuldspruch zu bewirken vermögen (Änderung der Rechtsprechung).</w:t>
      </w:r>
    </w:p>
    <w:p>
      <w:r>
        <w:t>Regeste Art. 397 CP, révision pénale. Sont également sérieux les faits et moyens de preuve nouveaux qui ne peuvent conduire qu'à une modification de la déclaration de culpabilité (changement de jurisprudence).</w:t>
      </w:r>
    </w:p>
    <w:p>
      <w:r>
        <w:t>Regesto Art. 397 CP. Revisione. Rilevanti sono anche fatti o mezzi di prova nuovi, suscettibili di modificare soltanto la dichiarazione di colpevolezza (cambiamento della giurisprudenza).</w:t>
      </w:r>
    </w:p>
    <w:p>
      <w:pPr>
        <w:pStyle w:val="Heading2"/>
      </w:pPr>
      <w:r>
        <w:t>Erwägungen</w:t>
      </w:r>
    </w:p>
    <w:p>
      <w:r>
        <w:rPr>
          <w:b/>
        </w:rPr>
        <w:t>E. 2</w:t>
      </w:r>
    </w:p>
    <w:p>
      <w:r>
        <w:t>Nach neuer Praxis ist der Schuldspruch anfechtbar ( BGE 96 IV 66 , BGE 100 IV 2 ). Das hat bei der Wiederaufnahme zur Folge, dass neue Tatsachen und Beweismittel nicht nur erheblich sind, wenn sie zu einem wesentlich milderen Urteil führen können ( BGE 92 IV 179 und bisherige Rechtsprechung), sondern auch dann, wenn sie geeignet sind, die der Verurteilung zugrunde liegenden Feststellungen so zu erschüttern, dass auf Grund des veränderten Sachverhalts hinsichtlich einer von mehreren strafbaren Handlungen, derentwegen der Täter verurteilt wurde, ein Freispruch möglich ist, unabhängig davon, ob dieser mildere Bestrafung nach sich 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