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298</w:t>
      </w:r>
    </w:p>
    <w:p>
      <w:r>
        <w:t>Bundesgericht (BGE), 1975-01-01, DE</w:t>
      </w:r>
    </w:p>
    <w:p>
      <w:r>
        <w:rPr>
          <w:b/>
        </w:rPr>
        <w:t xml:space="preserve">Quelle: </w:t>
      </w:r>
      <w:r>
        <w:t>https://mcp.opencaselaw.ch/entscheid/bge_BGE_101_IV_298</w:t>
      </w:r>
    </w:p>
    <w:p>
      <w:r>
        <w:t>FR: ATF 101 IV 298</w:t>
      </w:r>
    </w:p>
    <w:p>
      <w:r>
        <w:t>IT: DTF 101 IV 298</w:t>
      </w:r>
    </w:p>
    <w:p>
      <w:pPr>
        <w:pStyle w:val="Heading2"/>
      </w:pPr>
      <w:r>
        <w:t>Regeste</w:t>
      </w:r>
    </w:p>
    <w:p>
      <w:r>
        <w:t>Regeste Art. 181 StGB; Nötigung durch Androhen der Verteilung eines Flugblattes, das eine Aufforderung zum Boykott enthält. 1. Das Bestreben, den Rechtsvorschriften über Hygiene und Berufsbildung Nachachtung zu verschaffen, ist nicht rechts- oder sittenwidrig (Erw. 3). 2. Kritik an wirklich bestehenden Missständen ist nicht schon allein deshalb rechts- oder sittenwidrig, weil sie durch ein öffentlich verteiltes Flugblatt erhoben wird. Sie wird es jedoch dort, wo der Inhalt des Flugblattes die Grenzen des Zulässigen überschreitet, z.B. durch ehrverletzende oder kreditschädigende Ausführungen oder durch verpönte Androhungen (Erw. 4).</w:t>
      </w:r>
    </w:p>
    <w:p>
      <w:r>
        <w:t>Regeste Art. 181 CP: contrainte exercée par la menace de distribuer un tract contenant un appel au boycottage. 1. Les efforts tendant à faire respecter les prescriptions légales concernant l'hygiène et la formation professionnelle ne sont contraires ni au droit, ni aux moeurs (consid. 3). 2. Une critique fondée sur des faits établis n'est pas en soi contraire au droit et aux moeurs par la seule circonstance qu'elle figure sur un tract distribué publiquement. Elle le devient en revanche si le contenu du tract excède les limites de l'admissible, par exemple en raison de la présence d'allégations attentatoires à l'honneur ou au crédit personnel, soit de menaces illicites (consid. 4).</w:t>
      </w:r>
    </w:p>
    <w:p>
      <w:r>
        <w:t>Regesto Art. 181 CP. Coazione attuata mediante la minaccia di distribuire un manifestino contenente un invito al boicotto. 1. Gli sforzi diretti a far rispettare le prescrizioni legali concernenti l'igiene e la formazione professionale non sono contrari al diritto o ai buoni costumi (consid. 3). 2. Una critica fondata su di una situazione effettivamente esistente non è di per sé contraria al diritto o ai buoni costumi per il solo fatto d'essere formulata in un manifestino distribuito pubblicamente. Essa lo diviene invece se il contenuto del manifestino eccede i limiti di ciò che è ammissibile, per esempio a causa di affermazioni lesive dell'onore o del credito, oppure di minacce illecite (consid. 4).</w:t>
      </w:r>
    </w:p>
    <w:p>
      <w:pPr>
        <w:pStyle w:val="Heading2"/>
      </w:pPr>
      <w:r>
        <w:t>Erwägungen</w:t>
      </w:r>
    </w:p>
    <w:p>
      <w:r>
        <w:rPr>
          <w:b/>
        </w:rPr>
        <w:t>E. 1</w:t>
      </w:r>
    </w:p>
    <w:p>
      <w:r>
        <w:t>Das angefochtene Urteil sagt teils nicht klar, ob die Kritik der Beschwerdeführer den Tatsachen entsprach, teils beschränkt es sich darauf, die kritisierten Missstände zu bagatellisieren. Die Mängel der vorinstanzlichen Begründung sind es, die in der staatsrechtlichen Beschwerde hauptsächlich gerügt werden. Die Klarstellung dieser tatsächlichen Punkte ist indessen nur von Bedeutung, wenn der Tatbestand der Nötigung nicht erfüllt ist, falls die im Flugblatt erhobenen Vorwürfe der Wirklichkeit entsprachen. Es ist deshalb von der Annahme auszugehen, dass die im Flugblatt angeprangerten Zustände den Tatsachen entsprachen, und zu prüfen, ob in diesen Fall das Vorgehen der Beschwerdeführer unter den Tatbestand der Nötigung fällt.</w:t>
      </w:r>
    </w:p>
    <w:p>
      <w:r>
        <w:rPr>
          <w:b/>
        </w:rPr>
        <w:t>E. 2</w:t>
      </w:r>
    </w:p>
    <w:p>
      <w:r>
        <w:t>Wegen Nötigung macht sich gemäss Art. 181 StGB strafbar, wer jemanden durch Gewalt, Androhung ernstlicher Nachteile oder durch eine andere Beschränkung seiner Handlungsfreiheit nötigt, etwas zu tun, zu unterlassen oder zu dulden. Weitere Voraussetzung ist, dass der mit der Nötigung verfolgte Zweck oder das zu seiner Erreichung verwendete Mittel rechtswidrig ist oder gegen die guten Sitten verstösst ( BGE 96 IV 60 ). Die Beschwerdeführer bestreiten mit Recht nicht, dass sie Frei ernstliche Nachteile angedroht haben. Hingegen machen sie geltend, das sei weder widerrechtlich noch sittenwidrig gewesen; es habe sich um eine durchaus übliche gewerkschaftliche Aktion im Rahmen der Rechtsordnung gehandelt.</w:t>
      </w:r>
    </w:p>
    <w:p>
      <w:r>
        <w:rPr>
          <w:b/>
        </w:rPr>
        <w:t>E. 3</w:t>
      </w:r>
    </w:p>
    <w:p>
      <w:r>
        <w:t>Vorausgesetzt, dass die von den Beschwerdeführern kritisierten Zustände tatsächlich bestanden, war der von ihnen BGE 101 IV 298 S. 302 angeblich verfolgte Zweck - wozu die Vorinstanz Zweifel äussert, aber nicht klar Stellung bezieht - nicht rechts- oder sittenwidrig. Das Bestreben, den Rechtsvorschriften über Hygiene und Berufsbildung Nachachtung zu verschaffen, ist nicht widerrechtlich. Und wenn es zutreffen sollte, dass gegenüber dörflichen Kleinmetzgereien eine gewisse Toleranz geübt wird, verstösst die Absicht, auch diese Toleranz abzuschaffen, nicht gegen die guten Sitten.</w:t>
      </w:r>
    </w:p>
    <w:p>
      <w:r>
        <w:rPr>
          <w:b/>
        </w:rPr>
        <w:t>E. 4</w:t>
      </w:r>
    </w:p>
    <w:p>
      <w:r>
        <w:t>Anders verhält es sich mit den von den Beschwerdeführern verwendeten Mitteln. Zwar ist Kritik an wirklich bestehenden Missständen nicht schon allein deshalb rechts- oder sittenwidrig, weil sie durch ein öffentlich verteiltes Flugblatt erhoben wird. Sie wird es jedoch dort, wo der Inhalt des Flugblattes die Grenzen des Zulässigen überschreitet, zum Beispiel durch ehrverletzende oder kreditschädigende Ausführungen oder durch verpönte Androhungen. Das von den Beschwerdeführern zur Verteilung vorgesehene Flugblatt erschöpft sich nun nicht in der Schilderung der behaupteten Missstände. Es gipfelt in einer nur leicht verhüllten Aufforderung zum Boykott der Metzgerei Frei. Der Boykott ist grundsätzlich widerrechtlich; nur wer mit ihm offensichtlich überwiegende berechtigte Interessen verfolgt, die er auf keine andere Weise wahren kann, verstösst nicht gegen das Recht ( BGE 86 II 378 ). Die Beschwerdeführer konnten den von ihnen verfolgten Zweck auf andere Weise als durch Boykottandrohung erreichen, nämlich durch Vorstelligwerden bei den für Berufsbildung und öffentliche Hygiene zuständigen Behörden. Sie machen zwar geltend, Roger Herren habe erfolglos das kantonale Lehrlingsamt orientiert. Selbst wenn das zutrifft, berechtigte sie dieser Misserfolg nicht zu ihrem Vorgehen. Vielmehr hätten sie ihr Anliegen auch der übergeordneten Behörde vortragen müssen, bevor sie zur Boykottdrohung griffen. Selbst wenn somit die Nötigung Freis ein rechtmässiges Ziel verfolgte, wurde sie mit rechtswidrigen Mitteln ausgeübt. Die Beschwerdeführer sind daher zu Recht nach Art. 181 StGB bestraft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