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288</w:t>
      </w:r>
    </w:p>
    <w:p>
      <w:r>
        <w:t>Bundesgericht (BGE), 1975-01-01, DE</w:t>
      </w:r>
    </w:p>
    <w:p>
      <w:r>
        <w:rPr>
          <w:b/>
        </w:rPr>
        <w:t xml:space="preserve">Quelle: </w:t>
      </w:r>
      <w:r>
        <w:t>https://mcp.opencaselaw.ch/entscheid/bge_BGE_101_IV_288</w:t>
      </w:r>
    </w:p>
    <w:p>
      <w:r>
        <w:t>FR: ATF 101 IV 288</w:t>
      </w:r>
    </w:p>
    <w:p>
      <w:r>
        <w:t>IT: DTF 101 IV 288</w:t>
      </w:r>
    </w:p>
    <w:p>
      <w:pPr>
        <w:pStyle w:val="Heading2"/>
      </w:pPr>
      <w:r>
        <w:t>Regeste</w:t>
      </w:r>
    </w:p>
    <w:p>
      <w:r>
        <w:t>Regeste Art. 153, 154 StGB. Warenfälschung und Inverkehrbringen gefälschter Waren durch Nachahmung und Abänderung von Briefmarken zu Täuschungszwecken und durch Verkauf solcher Waren. Art. 61, 153 Abs. 2, Art. 154 Abs. 2 StGB. Wird die Veröffentlichung des Urteils angeordnet, weil der Täter gewerbsmässig handelte, so sind allfällige Schuldsprüche des Urteils wegen anderer Delikte nicht in die Veröffentlichung einzubeziehen, soweit hiefür kein i.S. von Art. 61 StGB wesentliches Interesse besteht.</w:t>
      </w:r>
    </w:p>
    <w:p>
      <w:r>
        <w:t>Regeste Art. 153, 154 CP. Falsification de marchandises et mise en circulation de marchandises falsifiées résultant de l'imitation et de la modification de timbres-poste dans le dessein de tromper autrui, ainsi que de la vente de telles marchandises. Art. 61, 153 al. 2, art. 154 al. 2 CP. Lorsque la publication du jugement est ordonnée pour le motif que l'auteur a agi par métier, il ne faut pas y faire figurer les éventuels chefs d'accusation portant sur d'autres infractions, si cela ne présente aucun intérêt au sens de l'art. 61 CP.</w:t>
      </w:r>
    </w:p>
    <w:p>
      <w:r>
        <w:t>Regesto Art. 153, 154 CP. Contraffazione di merci e commercio di merci contraffatte, risultanti dall'imitazione e dalla modificazione di francobolli allo scopo di trarre in inganno terzi, come pure dalla vendita di tali merci. Art. 61, 153 cpv. 2, 154 cpv. 2 CP. Ove la pubblicazione della sentenza sia ordinata per avere l'autore agito per mestiere, non vi devono essere menzionati gli eventuali ulteriori reati di cui questi è stato riconosciuto colpevole, nella misura in cui non sia dato al proposito un interesse pubblico ai sensi dell'art. 61 CP.</w:t>
      </w:r>
    </w:p>
    <w:p>
      <w:pPr>
        <w:pStyle w:val="Heading2"/>
      </w:pPr>
      <w:r>
        <w:t>Erwägungen</w:t>
      </w:r>
    </w:p>
    <w:p>
      <w:r>
        <w:rPr>
          <w:b/>
        </w:rPr>
        <w:t>E. 1</w:t>
      </w:r>
    </w:p>
    <w:p>
      <w:r>
        <w:t>Der obergerichtliche Entscheid wird hinsichtlich der Verurteilung wegen wiederholter und fortgesetzter Urkundenfälschung nicht angefochten. Insoweit ist das Urteil der Vorinstanz rechtskräftig geworden. BGE 101 IV 288 S. 290</w:t>
      </w:r>
    </w:p>
    <w:p>
      <w:r>
        <w:rPr>
          <w:b/>
        </w:rPr>
        <w:t>E. 2</w:t>
      </w:r>
    </w:p>
    <w:p>
      <w:r>
        <w:t>Der Beschwerdeführer behauptet, die Herstellung von Faksimiles sei nicht strafbar. Dieser Auffassung ist insoweit beizupflichten, als die Anfertigung von Faksimiles und die Nachbildung von Briefmarken in entsprechenden Katalogen zulässig ist, sofern damit nicht vorgetäuscht werden soll, es handle sich dabei um echte Stücke. Briefmarkenkataloge, die Nachbildungen von Marken enthalten, werden gehandelt und stellen als solche - entgegen der in der Beschwerde aufgestellten Behauptung - eine Ware im Sinne der Art. 153 und 154 StGB dar. Wie die Vorinstanz indessen bereits ausgeführt hat, geht es im vorliegenden Fall nicht darum, zu entscheiden, ob Katalogausschnitte Waren seien, sondern darum, ob die vom Beschwerdeführer angefertigten Briefmarken Waren seien.</w:t>
      </w:r>
    </w:p>
    <w:p>
      <w:r>
        <w:rPr>
          <w:b/>
        </w:rPr>
        <w:t>E. 3</w:t>
      </w:r>
    </w:p>
    <w:p>
      <w:r>
        <w:t>Für den Kassationshof steht verbindlich fest ( Art. 277bis Abs. 1 BStP ), dass der Beschwerdeführer aus einem Briefmarkenkatalog Reproduktionen von Briefmarken ausgeschnitten, teilweise deren Rückseite aufgerauht, sie auf Briefe geklebt oder mit Klebstoff versehen sowie Stempel ergänzt oder Zeichen angebracht hat, die auf Echtheit schliessen lassen. Sodann hat er an echten Marken Änderungen vorgenommen, indem er Stempel ergänzte bzw. Kreuzeinfassungen nachzog. Dass in diesem Vorgehen eine Verfälschung der Ware vorliegt, indem durch die erwähnten Eingriffe in die Materie und deren äusserliche Abänderung der Eindruck erweckt wurde, es handle sich um echte alte Marken, also um solche, die einen höheren als den wirklichen Handelswert besitzen, kann keinem Zweifel unterliegen.</w:t>
      </w:r>
    </w:p>
    <w:p>
      <w:r>
        <w:rPr>
          <w:b/>
        </w:rPr>
        <w:t>E. 4</w:t>
      </w:r>
    </w:p>
    <w:p>
      <w:r>
        <w:t>Endlich stellt die Vorinstanz verbindlich fest, dass die Fälschung mit Täuschungsabsicht durchgeführt wurde. Die Beschwerde bestreitet diesen Vorsatz zwar nicht, behauptet aber, objektiv sei keine Täuschung erfolgt. Der Einwand geht fehl. Eine Täuschung im Sinne des Art. 153 StGB liegt objektiv schon vor, wenn der Käufer nicht ohne weiteres sieht, dass ihm gefälschte Ware angeboten wird, d.h. eine Ware, deren natürliche Beschaffenheit unerlaubterweise verändert worden ist ( BGE 78 IV 93 E. 2). Dass diese Voraussetzung im vorliegenden Fall erfüllt ist, steht verbindlich fest. Ebenso ist festgestellt, dass der Beschwerdeführer die nachgemachten oder verfälschten Briefmarken im Sinne von Art. 154 StGB als echt zum Verkauf angeboten und zum Teil auch verkauft hat. Er BGE 101 IV 288 S. 291 ist deshalb zu Recht nach Art. 153 und 154 StGB schuldig erklärt worden. Daran ändert nichts, dass die dem M. angebotenen Marken von diesem bzw. einem beigezogenen Experten als Fälschungen entlarvt wurden.</w:t>
      </w:r>
    </w:p>
    <w:p>
      <w:r>
        <w:rPr>
          <w:b/>
        </w:rPr>
        <w:t>E. 5</w:t>
      </w:r>
    </w:p>
    <w:p>
      <w:r>
        <w:t>Die Beschwerde rügt eine Verletzung von Art. 61 StGB mit der Begründung, die angeordnete Veröffentlichung des Urteils sei rechtswidrig, weil das Obergericht den gesamten von ihm gefällten Entscheid, also auch die Bestrafung wegen wiederholter und fortgesetzter Urkundenfälschung, in der Schweizer Briefmarkenzeitung erscheinen lassen wolle. Die Publikation des Schuldspruchs hinsichtlich der Urkundenfälschung liege nicht im öffentlichen Interesse. Aus den Erwägungen des angefochtenen Urteils ergibt sich eindeutig, dass die Veröffentlichung des Entscheids nur deshalb angeordnet wurde, weil der Beschwerdeführer gewerbsmässig im Sinne der Art. 153 Abs. 2 und 154 Ziff. 1 Abs. 2 StGB gehandelt hat und in solchen Fällen die Publikation des Strafurteils zwingend vorgeschrieben ist. Bei der Frage der Veröffentlichung des Urteils erwähnt die Vorinstanz die Urkundenfälschung mit keinem Wort. Auch deutet in den Erwägungen des vorinstanzlichen Urteils nichts darauf hin, dass der Entscheid in diesem Punkt zu veröffentlichen sei. Von der Urkundenfälschung war in diesem Zusammenhang auch nicht die Rede. Insbesondere wurde nicht behauptet, auch insoweit sei das Urteil zu veröffentlichen, da hiefür ein öffentliches Interesse im Sinne von Art. 61 StGB bestehe. Allerdings geht aus dem Urteilsdispositiv selbst die Beschränkung der Publikation auf den Schuldspruch bezüglich der gewerbsmässigen Warenfälschung und des gewerbsmässigen Inverkehrbringens gefälschter Waren nicht hervor. Demgemäss wird bei der Veröffentlichung des Dispositivs der Satz "- sowie der wiederholten und fortgesetzten Urkundenfälschung im Sinne von Art. 251 Ziff. 1 StGB ;" nicht aufzuführen, sondern durch "- ..." zu ersetzen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