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218</w:t>
      </w:r>
    </w:p>
    <w:p>
      <w:r>
        <w:t>Bundesgericht (BGE), 1975-01-01, FR</w:t>
      </w:r>
    </w:p>
    <w:p>
      <w:r>
        <w:rPr>
          <w:b/>
        </w:rPr>
        <w:t xml:space="preserve">Quelle: </w:t>
      </w:r>
      <w:r>
        <w:t>https://mcp.opencaselaw.ch/entscheid/bge_BGE_101_IV_218</w:t>
      </w:r>
    </w:p>
    <w:p>
      <w:r>
        <w:t>FR: ATF 101 IV 218</w:t>
      </w:r>
    </w:p>
    <w:p>
      <w:r>
        <w:t>IT: DTF 101 IV 218</w:t>
      </w:r>
    </w:p>
    <w:p>
      <w:pPr>
        <w:pStyle w:val="Heading2"/>
      </w:pPr>
      <w:r>
        <w:t>Regeste</w:t>
      </w:r>
    </w:p>
    <w:p>
      <w:r>
        <w:t>Regeste 1. Art. 26 und 32 SVG; Art. 4 VRV. Auf einer Kantonsstrasse ist auch zur Nachtzeit und bei Regen eine Geschwindigkeit von 50 bis 60 km/h durchaus angemessen sofern nicht besondere Umstände eine Herabsetzung der Geschwindigkeit erfordern (Erw. 2). 2. Art. 26 Abs. 2 und 33 Abs. 1 SVG; Art. 6 und 47 Abs. 5 VRV. Trennt eine Verkehrsinsel die Strasse in zwei verschiedene Fahrbahnen, so kann vom Motorfahrzeugführer nicht verlangt werden, dass er seine Aufmerksamkeit auch der von ihm nicht benützten Fahrbahn schenke, selbst wenn ein Fussgänger im Begriffe ist, diese zu überqueren (Erw. 3).</w:t>
      </w:r>
    </w:p>
    <w:p>
      <w:r>
        <w:t>Regeste 1. Art. 26 et 32 LCR; art. 4 OCR; Sauf circonstances spéciales imposant une allure moins rapide, une vitesse de 50/60 km/h est parfaitement admissible sur une route cantonale, même de nuit et par temps de pluie (consid. 2). 2. Art. 26 al. 2 et 33 al. 1 LCR; art. 6 et 47 al. 5 OCR: Lorsqu'un îlot divise momentanément la chaussée en deux voies distinctes, on ne saurait exiger de l'automobiliste qu'il porte son attention sur l'autre voie que celle qu'il va emprunter, et cela même si un piéton est en train de la traverser (consid. 3).</w:t>
      </w:r>
    </w:p>
    <w:p>
      <w:r>
        <w:t>Regesto 1. Art. 26 e 32 LCS; art. 4 ONCS: Salvo che circostanze particolari ne impongano una minore, la velocità di 50/60 km/h è del tutto ammissibile su una strada cantonale, e ciò anche di notte e quando piove (consid. 2). 2. Art. 26 cpv. 2 e 33 cpv. 1 LCS; art. 6 e 47 cpv. 5 ONCS: Ove un'isola spartitraffico separi la carreggiata in due corsie distinte, non può pretendersi che il conducente di un autoveicolo presti la sua attenzione alla corsia da lui non utilizzata, anche se un pedone è in procinto di attraversarla (consid. 3).</w:t>
      </w:r>
    </w:p>
    <w:p>
      <w:pPr>
        <w:pStyle w:val="Heading2"/>
      </w:pPr>
      <w:r>
        <w:t>Erwägungen</w:t>
      </w:r>
    </w:p>
    <w:p>
      <w:r>
        <w:rPr>
          <w:b/>
        </w:rPr>
        <w:t>E. 1</w:t>
      </w:r>
    </w:p>
    <w:p>
      <w:r>
        <w:t>Le Tribunal cantonal retient à la charge du recourant, au titre de la négligence, le fait qu'au moment du choc la victime se trouvait sur la chaussée au moins depuis 4 secondes, qu'au moment où elle s'est engagée sur la chaussée Ferretti, circulant à 50-60 km/h, se trouvait à 60 m au moins et 70 m au plus et que, en principe, il pouvait l'apercevoir aussi loin que portaient ses feux de croisement, c'est-à-dire assez tôt pour lui permettre d'éviter l'accident. Pour le Tribunal cantonal, la victime a "surgi" subitement, non pas sur la route, qu'elle traversait normalement, mais bien dans le champ de vision du recourant, qui ne la vit que quelques secondes avant de la heurter, soit qu'il ait roulé trop vite, soit qu'il ait été momentanément distrait. Ainsi, selon l'arrêt attaqué, la négligence du recourant est constituée tant par une inattention fautive que par une inadaptation de la vitesse. BGE 101 IV 218 S. 220 Le recourant conteste avoir commis une faute de circulation; il fait valoir que sa vitesse était adaptée aux circonstances, qu'il s'est trouvé face à un danger soudain et qu'il a correctement réagi en freinant immédiatement.</w:t>
      </w:r>
    </w:p>
    <w:p>
      <w:r>
        <w:rPr>
          <w:b/>
        </w:rPr>
        <w:t>E. 2</w:t>
      </w:r>
    </w:p>
    <w:p>
      <w:r>
        <w:t>La vitesse de 50-60 km/h à laquelle roulait le recourant était adaptée aux circonstances. Sur une route cantonale, même de nuit et avec la pluie, une telle vitesse est parfaitement admissible; elle permet au conducteur circulant avec ses feux de croisement de s'arrêter, en cas de danger subit, sur la distance éclairée par les phares. En l'espèce, avant l'apparition du piéton, rien n'imposait au recourant d'adopter une vitesse inférieure.</w:t>
      </w:r>
    </w:p>
    <w:p>
      <w:r>
        <w:rPr>
          <w:b/>
        </w:rPr>
        <w:t>E. 3</w:t>
      </w:r>
    </w:p>
    <w:p>
      <w:r>
        <w:t>a) Reste dès lors à examiner si le recourant avait l'obligation de prêter attention au piéton dès que celui-ci s'est engagé sur la chaussée et s'il a fait preuve d'inattention en ne le voyant pas avant qu'il surgisse devant lui ou en ne réagissant pas dès qu'il a mis les pieds sur la chaussée. Le raisonnement et les calculs du Tribunal cantonal semblent être fondés sur la situation d'une route large de 10 m 50, dégagée et devant être observée sur toute sa largeur par un conducteur attentif. Il paraît ainsi être fait totalement abstraction de l'îlot de sécurité qui, à l'endroit de l'accident, divise la route en deux pistes de 3 m 50. Or c'est bien en tenant compte de cet îlot de sécurité que doit être appréciée la situation. b) En présence d'îlots qui divisent momentanément la chaussée en deux voies distinctes et surtout si, comme en l'espèce, ils sont larges, on ne saurait raisonnablement exiger des automobilistes qu'ils portent leur attention sur l'autre voie que celle qu'ils vont emprunter. On ne saurait donc faire grief au recourant de n'avoir pas vu le piéton pendant qu'il traversait l'autre voie de la chaussée et une partie de l'îlot. Cette manière de voir correspond d'ailleurs au système légal, qui prévoit que lorsqu'un refuge coupe un passage de sécurité en deux tronçons, chacun de ceux-ci doit être considéré comme un passage indépendant (art. 47 al. 2, 2e phrase, OCR); à plus forte raison lorsqu'il n'existe pas de passage de sécurité et que l'automobiliste est prioritaire (art. 47 al. 5 OCR), celui-ci ne doit pas avoir à tenir compte et à adapter son comportement aux actes d'un piéton traversant la voie gauche de la chaussée (cf. RO 98 IV 221, ainsi que l'arrêt Jucker du 25 avril 1975, destiné à la publication). BGE 101 IV 218 S. 221 C'est seulement à partir du moment où le piéton a quitté l'îlot pour traverser la voie où il allait passer que l'automobiliste était dans l'obligation de réagir. Compte tenu de la forme de l'îlot et du fait que le choc a eu lieu à 2 m du bord droit de la route, le piéton a parcouru un peu plus de 2 m depuis le moment où il a quitté l'îlot. Jusqu'au choc, ce déplacement, auquel le recourant avait l'obligation d'être attentif, a duré un peu plus d'une seconde. Or, comme les traces de freinage commencent juste après le choc et compte tenu du temps de réaction plus de la fraction de seconde durant laquelle le freinage a commencé sans encore laisser de traces, force est de conclure que le recourant a réagi correctement. Aucune faute ne pouvant ainsi être retenue à la charge du recourant, il doit être libéré de l'accusation d'homicide par négligence.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