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162</w:t>
      </w:r>
    </w:p>
    <w:p>
      <w:r>
        <w:t>Bundesgericht (BGE), 1975-01-01, FR</w:t>
      </w:r>
    </w:p>
    <w:p>
      <w:r>
        <w:rPr>
          <w:b/>
        </w:rPr>
        <w:t xml:space="preserve">Quelle: </w:t>
      </w:r>
      <w:r>
        <w:t>https://mcp.opencaselaw.ch/entscheid/bge_BGE_101_IV_162</w:t>
      </w:r>
    </w:p>
    <w:p>
      <w:r>
        <w:t>FR: ATF 101 IV 162</w:t>
      </w:r>
    </w:p>
    <w:p>
      <w:r>
        <w:t>IT: DTF 101 IV 162</w:t>
      </w:r>
    </w:p>
    <w:p>
      <w:pPr>
        <w:pStyle w:val="Heading2"/>
      </w:pPr>
      <w:r>
        <w:t>Regeste</w:t>
      </w:r>
    </w:p>
    <w:p>
      <w:r>
        <w:t>Regeste Art. 140 Ziff. 1 Abs. 2 StGB; Veruntreuung einer vertretbaren Sache. Eine vertretbare Sache gilt dann als anvertraut, wenn der Täter sie mit der Verpflichtung empfängt, sie nach ausdrücklichen oder stillschweigend geäusserten Abmachungen in bestimmter Weise im Interesse eines andern zu verwenden. Es ist belanglos, ob der Täter sie vom Verletzten oder von einem Dritten erhalten hat (Erw. 2 lit. a).</w:t>
      </w:r>
    </w:p>
    <w:p>
      <w:r>
        <w:t>Regeste Art. 140 ch. 1 al. 2 CP; abus de confiance portant sur une chose fongible. Une chose fongible est confiée aussitôt que l'auteur la reçoit avec l'obligation de l'utiliser d'une manière particulière dans l'intérêt d'autrui selon des instructions expresses ou tacites. Peu importe qu'elle ait été remise à l'auteur par la victime ou par un tiers (consid. 2 lit. a).</w:t>
      </w:r>
    </w:p>
    <w:p>
      <w:r>
        <w:t>Regesto Art. 140 n. 1 cpv. 2 CP; appropriazione indebita di una cosa fungible. Una cosa fungible è affidata dal momento in cui l'agente la riceve con l'obbligo di utilizzarla in un determinato modo nell'interesse altrui, secondo istruzioni espresse o tacite. È irrilevante che essa sia stata consegnata all'agente dalla vittima o da un terzo (consid. 2 lett. a).</w:t>
      </w:r>
    </w:p>
    <w:p>
      <w:pPr>
        <w:pStyle w:val="Heading2"/>
      </w:pPr>
      <w:r>
        <w:t>Erwägungen</w:t>
      </w:r>
    </w:p>
    <w:p>
      <w:r>
        <w:rPr>
          <w:b/>
        </w:rPr>
        <w:t>E. 1</w:t>
      </w:r>
    </w:p>
    <w:p>
      <w:r>
        <w:t>La Cour de cassation pénale est liée par les constatations de l'autorité cantonale de dernière instance (cf. art. 268 et 277bis PPF). Il s'ensuit que le recourant ne saurait ici tirer argument de la rédaction du jugement rendu contre lui par le Tribunal correctionnel du district de Nyon, pour soutenir qu'il agissait en réalité pour son compte à lui, comme entrepreneur ou vendeur indépendant, et non pour celui de F. S.A., cette entreprise ne constituant qu'un fournisseur créancier parmi d'autres.</w:t>
      </w:r>
    </w:p>
    <w:p>
      <w:r>
        <w:rPr>
          <w:b/>
        </w:rPr>
        <w:t>E. 2</w:t>
      </w:r>
    </w:p>
    <w:p>
      <w:r>
        <w:t>a) Contrairement à ce qui est prévu au premier alinéa de l'art. 140 CP, lorsque la chose confiée est fongible, il n'est pas nécessaire qu'elle soit la propriété d'autrui pour que son emploi illicite entraîne la répression pénale (art. 140 ch. 1 al. 2 CP; RO 90 IV 184 ss; STRATENWERTH, Schweiz. Strafrecht, bes. Teil I, p. 175), sans quoi le mélange (art. 727 CC) suffirait à exclure l'infraction (HAFTER, Lehrbuch, bes. Teil I, p. 241). Dans ce cas, la chose est confiée aussitôt que l'auteur la reçoit - et en acquiert le cas échéant la propriété indépendamment de sa volonté - avec l'obligation de l'utiliser d'une manière particulière dans l'intérêt d'autrui, que ce soit pour la garder, l'administrer ou la livrer (RO 80 IV 55, 88 IV 18, 94 IV 139), selon des instructions qui peuvent être expresses ou tacites (RO 80 IV 153). Enfin, la chose confiée peut avoir été remise matériellement à l'auteur non seulement par la victime, mais également par un tiers (RO 70 IV 73, 75 IV 15, 94 IV 139, 98 IV 25; STRATENWERTH, op.cit., p. 172). Tel est le cas notamment lorsqu'un mandataire procède à un encaissement d'argent pour le compte du mandant. b) In casu, il ressort des constatations souveraines de l'autorité cantonale que F. S.A. a mandaté le recourant pour que, moyennant une commission, il encaisse pour elle auprès de tiers les sommes lui revenant pour avoir installé ou agencé des cuisines à leur intention. Comme le recourant a gardé les montants ainsi perçus par-devers lui, l'hypothèse de l'art. 140 BGE 101 IV 162 S. 164 ch. 1 al. 2 CP est en tout cas réalisée objectivement. Que F. S.A. ait pu obtenir l'inscription d'hypothèques légales lui garantissant qu'elle sera finalement payée ne change rien à cela, car elle a dû ou devra vraisemblablement procéder pour obtenir satisfaction et subit de ce fait un dommage au moins temporaire, suffisant pour que l'infraction soit réalisée (cf. RO 77 IV 11). Dès lors que par ailleurs l'autorité cantonale a constaté de façon définitive que le recourant savait qu'il devait utiliser d'une certaine manière les fonds perçus pour F. S.A. et qu'il a voulu les utiliser à son profit, c'est à juste titre qu'elle l'a reconnu coupable d'abus de confiance au sens de l'art. 140 ch. 1 al. 2 CP.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