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16</w:t>
      </w:r>
    </w:p>
    <w:p>
      <w:r>
        <w:t>Bundesgericht (BGE), 1975-01-01, DE</w:t>
      </w:r>
    </w:p>
    <w:p>
      <w:r>
        <w:rPr>
          <w:b/>
        </w:rPr>
        <w:t xml:space="preserve">Quelle: </w:t>
      </w:r>
      <w:r>
        <w:t>https://mcp.opencaselaw.ch/entscheid/bge_BGE_101_IV_16</w:t>
      </w:r>
    </w:p>
    <w:p>
      <w:r>
        <w:t>FR: ATF 101 IV 16</w:t>
      </w:r>
    </w:p>
    <w:p>
      <w:r>
        <w:t>IT: DTF 101 IV 16</w:t>
      </w:r>
    </w:p>
    <w:p>
      <w:pPr>
        <w:pStyle w:val="Heading2"/>
      </w:pPr>
      <w:r>
        <w:t>Regeste</w:t>
      </w:r>
    </w:p>
    <w:p>
      <w:r>
        <w:t>Regeste Art. 48 StGB; Bemessung der Busse. Massgebend ist in erster Linie das Verschulden; erst danach ist unter Berücksichtigung der übrigen in Art. 48 Ziff. 2 Abs. 2 genannten Umstände anhand der Einkommens- und Vermögensverhältnisse die Busse so zu bemessen, dass sie den Verurteilten in der dem Verschulden angepassten Höhe trifft.</w:t>
      </w:r>
    </w:p>
    <w:p>
      <w:r>
        <w:t>Regeste Art. 48 CP; mesure de l'amende. Le premier critère déterminant est la culpabilité; ensuite seulement il convient de faire correspondre à celle-ci le montant de l'amende, en fonction des éléments énumérés à l'art. 48 al. 2 CP, tels que le revenu et la fortune du condamné, notamment.</w:t>
      </w:r>
    </w:p>
    <w:p>
      <w:r>
        <w:t>Regesto Art. 48 CP; commisurazione della multa. Criterio determinante è in primo luogo la colpevolezza; in base ad essa la multa va poi calcolata, tenendo conto degli elementi enumerati nell'art. 48 n. 2 cpv. 2 CP, e in particolare del reddito e del patrimonio del condannato, in modo che essa corrisponda concretamente al grado di colpevolezza di quest'ultimo.</w:t>
      </w:r>
    </w:p>
    <w:p>
      <w:pPr>
        <w:pStyle w:val="Heading2"/>
      </w:pPr>
      <w:r>
        <w:t>Erwägungen</w:t>
      </w:r>
    </w:p>
    <w:p>
      <w:r>
        <w:rPr>
          <w:b/>
        </w:rPr>
        <w:t>E. 3</w:t>
      </w:r>
    </w:p>
    <w:p>
      <w:r>
        <w:t>... c) Dem Beschwerdeführer ist darin zuzustimmen, dass die Grundsätze des Art. 48 Ziff. 2 StGB auch dann gelten, wenn der Richter die Busse wegen Gewinnsucht des Täters über dem ordentlichen Höchstbetrag von Fr. 20'000.-- (der hier nach dem Grundsatz der lex mitior noch gilt) ansetzt. Das will freilich nicht heissen, dass die Busse ausschliesslich oder vorwiegend nach den wirtschaftlichen Verhältnissen des Täters zu bemessen sei. Vielmehr hat der Kassationshof schon wiederholt entschieden, Art. 48 Ziff. 2 Abs. 1 und 2 StGB besage nichts anderes, als dass durch die Busse der wirtschaftlich Starke nicht weniger hart getroffen werden solle als der wirtschaftlich Schwache. Es liegt denn auch darin nicht eine Abweichung, sondern eine Bestätigung der in Art. 63 StGB enthaltenen allgemeinen Strafzumessungsregel, die im Hinblick auf die Besonderheit der Geldstrafe in Art. 48 Ziff. 2 StGB bloss entsprechend verdeutlicht worden ist. Massgebend bleibt in erster Linie das Verschulden; erst danach ist unter Berücksichtigung der übrigen in Art. 48 Ziff. 2 Abs. 2 genannten BGE 101 IV 16 S. 17 Umstände anhand der Einkommens- und Vermögensverhältnisse die Höhe der Busse so anzusetzen, dass sie den Verurteilten in der dem Verschulden angepassten Höhe trifft ( BGE 90 IV 155 , BGE 92 IV 5 ). Das Appellationsgericht hat das Verschulden des Beschwerdeführers als ungewöhnlich schwer gewürdigt und zusätzlich die Gewinnsucht als belastendes Moment berücksichtigt. Das ficht Kaltenbach nicht an. Hingegen macht er mit Recht geltend, dass im angefochtenen Urteil jeder Hinweis auf seine finanzielle Leistungsfähigkeit fehlt. Wenn auch für die Bemessung der Busse das Verschulden in erster Linie massgebend ist, so rechtfertigt dies doch nicht, die persönlichen Verhältnisse des Täters überhaupt zu vernachlässigen. Entsprechend der Natur der Geldstrafe misst sich an der wirtschaftlichen Leistungsfähigkeit des Täters die Empfindlichkeit des Strafeingriffs, und dem ist nach ausdrücklicher Vorschrift des Gesetzes ebenfalls Rechnung zu tragen (SCHWANDER, N. 429 S. 233; SCHULTZ, Einführung in den AT des StGB, II S. 88; THORMANN/V. OVERBECK, N. 9 zu Art. 48). Inwiefern unter diesem Gesichtspunkt die Ausfällung einer Busse von Fr. 30'000.-- bei Berücksichtigung der in der Gewinnsucht zutage getretenen sozialen Gefährlichkeit (SCHWANDER, N. 370 S. 193) geboten war, um den Beschwerdeführer nach seinem Verschulden angemessen zu treffen, wird deshalb von der Vorinstanz noch geprüft werden müssen. Bei der Neubeurteilung kann sie nicht nur der augenblicklichen finanziellen Lage, sondern auch den künftigen Verhältnissen des Beschwerdeführers Rechnung tragen, soweit sie sich als wahrscheinlich ermitteln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