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149</w:t>
      </w:r>
    </w:p>
    <w:p>
      <w:r>
        <w:t>Bundesgericht (BGE), 1975-01-01, DE</w:t>
      </w:r>
    </w:p>
    <w:p>
      <w:r>
        <w:rPr>
          <w:b/>
        </w:rPr>
        <w:t xml:space="preserve">Quelle: </w:t>
      </w:r>
      <w:r>
        <w:t>https://mcp.opencaselaw.ch/entscheid/bge_BGE_101_IV_149</w:t>
      </w:r>
    </w:p>
    <w:p>
      <w:r>
        <w:t>FR: ATF 101 IV 149</w:t>
      </w:r>
    </w:p>
    <w:p>
      <w:r>
        <w:t>IT: DTF 101 IV 149</w:t>
      </w:r>
    </w:p>
    <w:p>
      <w:pPr>
        <w:pStyle w:val="Heading2"/>
      </w:pPr>
      <w:r>
        <w:t>Regeste</w:t>
      </w:r>
    </w:p>
    <w:p>
      <w:r>
        <w:t>Regeste Art. 117 StGB. Bei Unterlassungsdelikten ist der natürliche Kausalzusammenhang zwischen dem Verhalten des Täters und dem Erfolg zu bejahen, wenn ohne die Unterlassung der Erfolg mit Sicherheit oder an Sicherheit grenzender Wahrscheinlichkeit ausgeblieben wäre. Es genügt nicht, dass die unterlassene Handlung den Erfolg bloss möglicher- oder sehr wahrscheinlicherweise verhindert hätte.</w:t>
      </w:r>
    </w:p>
    <w:p>
      <w:r>
        <w:t>Regeste Art. 117 CP. En cas de délit d'omission, il n'existe de causalité naturelle entre le comportement de l'auteur et le résultat que si l'on doit admettre avec certitude ou avec une conviction confinant à la certitude que ce résultat ne se serait pas produit en l'absence de l'omission. Il ne suffit donc pas que l'acte omis ait été de nature à empêcher le résultat éventuellement, voire très probablement.</w:t>
      </w:r>
    </w:p>
    <w:p>
      <w:r>
        <w:t>Regesto Art. 117 CP. In caso di reato di omissione, il rapporto di causalità naturale tra la condotta dell'agente e l'evento è dato solo se, in assenza dell'omissione, l'evento avrebbe avuto luogo con certezza o con un grado di probabilità prossimo alla certezza. Non è quindi sufficiente che l'atto omesso sia stato idoneo ad impedire eventualmente, o persino molto probabilmente, l'evento.</w:t>
      </w:r>
    </w:p>
    <w:p>
      <w:pPr>
        <w:pStyle w:val="Heading2"/>
      </w:pPr>
      <w:r>
        <w:t>Erwägungen</w:t>
      </w:r>
    </w:p>
    <w:p>
      <w:r>
        <w:rPr>
          <w:b/>
        </w:rPr>
        <w:t>E. 1</w:t>
      </w:r>
    </w:p>
    <w:p>
      <w:r>
        <w:t>Das Obergericht wirft dem Beschwerdeführer vor, in die von Aebi durch die unsorgfältige Einstellung des installierten Durchlauferhitzers geschaffene tödliche Gefahrsituation in pflichtwidriger Weise nicht eingegriffen zu haben, indem er die ihm von Aebi zugekommene Installationsmeldung vom BGE 101 IV 149 S. 151 31. Januar 1973 nicht an die Installationskontrolle des Gaswerkes weiterleitete und so eine diese Gefahr voraussichtlich behebende Kontrolle des Durchlauferhitzers verunmöglichte. Damit wird dem Beschwerdeführer ein unechtes Unterlassungsdelikt zur Last gelegt (dazu HAFTER: Lehrbuch, allg. Teil, S. 77 Ziff. 2 und SCHWANDER: Schweiz. Strafgesetzbuch, 2. Aufl. Nr. 156). Wie die Begehungsdelikte, sind auch die Unterlassungsdelikte nur strafbar, wenn die dem Beschuldigten zur Last gelegte Unterlassung für den eingetretenen, vom Strafgesetz verpönten Enderfolg kausal war. Schon HAFTER stellt fest (a.a.O. S. 83 Ziff. IV), dass mechanisch betrachtet das Nichthindern eines von einem Dritten geschaffenen tödlichen Gefahrszustandes bei Verwirklichung der Gefahr (z.B. Tötung) zwar an sich nicht Verursachung dieses Erfolgs sein kann; beim Unterlassungsdelikt fehle also der mechanische Kausalzusammenhang zwischen menschlichem Versagen und dem strafbaren Erfolg. Juristisch - sagt HAFTER - sei jedoch natürliche Kausalität vorhanden, "wenn ohne die pflichtwidrige Untätigkeit der schädigende Erfolg nicht eingetreten wäre". Diese juristische Deutung des natürlichen Kausalitätsbegriffes und seine Anwendung auf Unterlassungsdelikte sei gerechtfertigt, da es den Anschauungen des täglichen Lebens und dem Sprachgebrauch entspreche, wenn man erkläre, dass der Bahnwärter, Bergführer oder Soldat, welcher pflichtwidrig untätig geblieben sei, den eingetretenen Schaden "verursacht" habe. Ähnlich überlegt auch SCHWANDER, wenn er sagt (a.a.O.): "Dem Täter wird vorgeworfen, er habe an der Gefährdung oder Verletzung insofern Anteil, als er es unterlassen habe, in einen gefährlichen Kausalverlauf - für den der Täter selber nicht verantwortlich zu sein braucht - einzugreifen und den Erfolg abzuwenden". Dem Täter werde also vorgeworfen, einen verhängnisvollen Kausalverlauf nicht unterbrochen zu haben. In solchen Fällen bestehe natürlicher Kausalzusammenhang, "wenn die vom Täter erwartete Handlung nicht hinzugedacht werden kann, ohne dass der verbotene Erfolg entfiele". Denselben Standpunkt vertritt auch SCHULTZ (Das Unterlassungsdelikt, S. 24). Nach diesen Autoren ist beim Unterlassungsdelikt mithin erforderlich, dass der vom Gesetz verpönte Erfolg ohne die pflichtwidrige Unterlassung nicht eingetreten wäre, oder dass die vom Täter erwartete Handlung zum sonstigen Geschehen BGE 101 IV 149 S. 152 nicht hinzugedacht werden kann, ohne dass der verbotene Erfolg entfiele.</w:t>
      </w:r>
    </w:p>
    <w:p>
      <w:r>
        <w:rPr>
          <w:b/>
        </w:rPr>
        <w:t>E. 2</w:t>
      </w:r>
    </w:p>
    <w:p>
      <w:r>
        <w:t>a) Das Obergericht betrachtet - im Gegensatz zum Beschwerdeführer - diese Voraussetzungen im vorliegenden Falle als erfüllt. Die gegensätzlichen Ansichten sind darauf zurückzuführen, dass die Vorinstanz die Auffassung vertritt, zur Bejahung des natürlichen Kausalzusammenhanges bei Unterlassungsdelikten genüge es, wenn bei pflichtgemässem Tätigwerden des Täters der Eintritt des schädigenden Erfolgs "sehr wahrscheinlich" verhindert worden wäre, währenddem der Beschwerdeführer die Meinung verficht, zur Bejahung des natürlichen Kausalzusammenhanges bei Unterlassungsdelikten sei unerlässlich, dass feststehe, dass der schädigende Erfolg durch die Vornahme der vom Täter geforderten Handlung "mit Sicherheit oder wenigstens mit an Sicherheit grenzender Wahrscheinlichkeit" verhindert worden wäre. b) Es ist zunächst abzuklären, ob der Kassationshof diese Streitfrage prüfen darf, da nach der Rechtsprechung der Entscheid, ob in einem konkreten Straffall zwischen dem Verhalten des Täters und dem strafbaren Enderfolg ein natürlicher Kausalzusammenhang bestehe, in den Bereich des Tatsächlichen gehört, welcher der Überprüfung durch den Kassationshof nicht untersteht ( Art. 277 bis Abs. 1 BStP ; BGE 97 IV 245 E. 4; BGE 98 IV 173 E. 2). Wenn der Kassationshof an die Feststellung des Sachrichters, ob zwischen dem Verhalten des Täters und dem strafbaren Enderfolg ein natürlicher Kausalzusammenhang bestehe oder nicht, an sich auch gebunden ist, so darf er bei seiner Rechtskontrolle doch stets dann eingreifen, wenn in einer an ihn gerichteten Nichtigkeitsbeschwerde geltend gemacht wird, der Sachrichter sei bei seiner Entscheidung von einem bundesrechtswidrigen Begriff des natürlichen Kausalzusammenhanges ausgegangen. Denn die Frage, ob dem so sei oder nicht, ist eine Rechtsfrage. c) In Übereinstimmung mit der oben zitierten Lehre ist davon auszugehen, dass der Begriff des natürlichen Kausalzusammenhanges zwischen dem Verhalten des Täters und dem strafbaren Enderfolg wie bei den Begehungsdelikten so auch bei den (echten und unechten) Unterlassungsdelikten seinem Wesen und Begriffe nach stets voraussetzt, dass das Verhalten des Täters nicht bloss möglicher- oder wahrscheinlicherweise, sondern mit einem hohen Grade der Wahrscheinlichkeit oder BGE 101 IV 149 S. 153 mit an Gewissheit grenzender Wahrscheinlichkeit die Ursache des strafbaren Enderfolgs sei ( BGE 86 IV 220 E. 2; SCHULTZ, a.a.O. S. 40; ferner die bei KARL ENGISCH: Die Kausalität als Merkmal der strafrechtlichen Tatbestände, S. 30 und Anm. 2 zustimmend zitierte Reichsgerichtspraxis; ebenso Kommentar SCHÖNKE/SCHRÖDER, 16. Auflage, S. 49 Note 141). Trifft dies nämlich bloss möglicher- oder nur wahrscheinlicherweise zu, so bedeutet das nichts anderes, als dass das Verhalten des Täters ebensowohl auch nicht die Ursache des strafbaren Erfolgs sein könnte. Der verpönte Erfolg kann in einem solchen Falle also - unbekümmert um das Verhalten des Täters - möglicherweise auch durch ganz andere Ursachen bewirkt worden sein. Im vorliegenden Fall stellt die Vorinstanz fest, dass das Gaswerk die Installation bei Eingang der Meldung "zwar nicht mit Sicherheit", aber "sehr wahrscheinlich" kontrolliert hätte. Eine amtliche Kontrolle hätte m.a.W. auch aus anderen, betriebsinternen Gründen unterbleiben können. In der Tat ergibt sich aus den weiteren, noch zu erörternden Feststellungen des angefochtenen Urteils, dass im Jahre 1973 ein einziger aus einer grösseren Zahl neu installierter Durchlauferhitzer kontrolliert wurde, und dass sogar der Installationschef des Gaswerks diesen Kontrollen keine grosse Bedeutung zumass. Bei dieser Sachlage kann nicht gesagt werden, die pflichtgemässe Weiterleitung der Installationsmeldung vom 31. Januar 1973 durch den Beschwerdeführer hätte den Tod Salvatore Gabrieles mit Sicherheit oder mit an Sicherheit grenzender Wahrscheinlichkeit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