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w:t>
      </w:r>
    </w:p>
    <w:p>
      <w:r>
        <w:t>Bundesgericht (BGE), 1975-01-01, FR</w:t>
      </w:r>
    </w:p>
    <w:p>
      <w:r>
        <w:rPr>
          <w:b/>
        </w:rPr>
        <w:t xml:space="preserve">Quelle: </w:t>
      </w:r>
      <w:r>
        <w:t>https://mcp.opencaselaw.ch/entscheid/bge_BGE_101_II_3</w:t>
      </w:r>
    </w:p>
    <w:p>
      <w:r>
        <w:t>FR: ATF 101 II 3</w:t>
      </w:r>
    </w:p>
    <w:p>
      <w:r>
        <w:t>IT: DTF 101 II 3</w:t>
      </w:r>
    </w:p>
    <w:p>
      <w:pPr>
        <w:pStyle w:val="Heading2"/>
      </w:pPr>
      <w:r>
        <w:t>Regeste</w:t>
      </w:r>
    </w:p>
    <w:p>
      <w:r>
        <w:t>Regeste Art. 266 Abs. 1 Ziff. 3 und 268a ZGB. 1. Übergangsrecht (E. 1). 2. Art. 268a ZGB enthält keinerlei Formvorschriften über das Untersuchungsverfahren (E. 2). 3. Die Adoptionsvoraussetzungen sind bei Mündigen eingehend zu prüfen (E. 3). 4. Begriff der Hausgemeinschaft (E. 4 und 5).</w:t>
      </w:r>
    </w:p>
    <w:p>
      <w:r>
        <w:t>Regeste Art. 266 al. 1 ch. 3 et 268a CC. 1. Droit transitoire (consid. 1). 2. L'art. 268a CC ne renferme aucune prescription sur la forme que doit revêtir l'instruction (consid. 2). 3. Les critères permettant d'admettre dans un cas l'adoption d'une personne majeure doivent être appliqués strictement (consid. 3). 4. Notion de communauté domestique (consid. 4 et 5).</w:t>
      </w:r>
    </w:p>
    <w:p>
      <w:r>
        <w:t>Regesto Art. 266 cpv. 1 n. 3 e 268a CC. 1. Diritto transitorio (consid. 1). 2. L'art. 268a CC non contiene alcuna disposizione circa la forma dell'istruttoria (consid. 2). 3. Quando l'adottando è maggiorenne le condizioni per l'adozione devono essere valutate in modo rigoroso (consid. 3). 4. Nozione di comunione domestica (consid. 4 e 5).</w:t>
      </w:r>
    </w:p>
    <w:p>
      <w:pPr>
        <w:pStyle w:val="Heading2"/>
      </w:pPr>
      <w:r>
        <w:t>Erwägungen</w:t>
      </w:r>
    </w:p>
    <w:p>
      <w:r>
        <w:rPr>
          <w:b/>
        </w:rPr>
        <w:t>E. 1</w:t>
      </w:r>
    </w:p>
    <w:p>
      <w:r>
        <w:t>La demande d'adoption a été déposée le 19 septembre 1972. Elle n'a cependant pas abouti avant l'entrée en vigueur de la loi du 30 juin 1972 sur l'adoption, de sorte qu'elle est soumise, comme l'a admis avec raison le Conseil d'Etat vaudois, aux dispositions de cette loi.</w:t>
      </w:r>
    </w:p>
    <w:p>
      <w:r>
        <w:rPr>
          <w:b/>
        </w:rPr>
        <w:t>E. 2</w:t>
      </w:r>
    </w:p>
    <w:p>
      <w:r>
        <w:t>Les recourants prétendent que l'instruction devant les autorités cantonales n'a pas été contradictoire, qu'ils n'ont pas été entendus par les autorités qui ont statué, et que l'essentiel des investigations faites par l'administration a reposé sur un BGE 101 II 3 S. 5 rapport de police erroné et fondé en grande partie sur des bavardages de village. Ils invoquent une violation des art. 51 OJ et 268a CC. Ce moyen est irrecevable en instance de réforme; l'art. 51 OJ et l'art. 268a CC ne renferment en effet aucune prescription sur la forme que doit revêtir l'instruction.</w:t>
      </w:r>
    </w:p>
    <w:p>
      <w:r>
        <w:rPr>
          <w:b/>
        </w:rPr>
        <w:t>E. 3</w:t>
      </w:r>
    </w:p>
    <w:p>
      <w:r>
        <w:t>Les recourants invoquent l'art. 266 al. 1 ch. 3 CC, aux termes duquel une personne majeure peut être adoptée lorsque sont établis de justes motifs et que cette personne a vécu pendant au moins cinq ans en communauté domestique avec les parents adoptifs. a) Le principe même de l'adoption des majeurs a fait l'objet de controverses lors de l'élaboration de la loi. S'il a néanmoins été admis, c'est "à titre d'exception, en présence d'une situation comparable à celle qui recommande l'adoption des mineurs" (Message du Conseil fédéral, FF 1971 I 1245). Le projet du Conseil fédéral se bornait cependant, à l'art. 266 al. 1 ch. 3, à exiger que "d'autres raisons majeures justifient l'établissement d'un lien de filiation légitime". Il visait par là des cas analogues à ceux visés aux ch. 1 et 2 de cette disposition, dans la mesure où des motifs importants le justifiaient (FF 1971 I 1245, 1288). b) Lors de la délibération parlementaire, après que le caractère exceptionnel de l'adoption des majeurs eut encore été souligné (Bull. stén. 1971, CE, pp. 724/725; 1972 I, CN, p. 588/589), deux cautèles supplémentaires ont été introduites: l'une visait tous les cas d'adoption de majeurs et subordonnait une telle adoption à l'absence de descendants de l'adoptant, l'autre se rapportait au seul cas du ch. 3 et introduisait la condition que l'adopté ait "vécu pendant cinq ans au moins en communauté domestique avec les parents adoptifs". Selon le rapporteur du Conseil des Etats, dont les considérations n'ont soulevé aucune objection, l'exigence de la vie commune pendant cinq ans était destinée à mettre obstacle à des adoptions ayant un but étranger à celui que la loi entendait assigner à l'institution - ainsi éluder une partie de l'impôt successoral ou faire échec à la réserve héréditaire de collatéraux. En outre, cette condition était justifiée par la considération que "l'exigence d'une communauté domestique prolongée... aboutit nécessairement, selon le cours ordinaire des choses, à l'établissement, pendant ce laps de temps, BGE 101 II 3 S. 6 d'étroites relations personnelles" (Bull. stén. 1971, CE, p. 725, trad.). Le législateur a ainsi entendu instituer une cautèle destinée à garantir que l'adoption des majeurs repose sur l'établissement, entre adoptant et adopté, de liens affectifs étroits destinés à apparenter la filiation adoptive à la filiation naturelle. Une vie en communauté domestique qui se maintient pendant cinq ans est la manifestation de ces liens d'affection et constitue ainsi, en plus des justes motifs, une condition minimum. Les principes régissant l'adoption des majeurs sont exprimés de façon claire dans le texte légal. La notion de communauté domestique saurait d'autant moins être interprétée de façon extensive que l'adoption des majeurs, dans l'esprit de la loi, a un caractère exceptionnel. Le critère objectif de la vie en commun doit en outre compenser le fait que la notion de justes motifs échappe à toute définition qui ne contienne pas d'appréciation subjective.</w:t>
      </w:r>
    </w:p>
    <w:p>
      <w:r>
        <w:rPr>
          <w:b/>
        </w:rPr>
        <w:t>E. 4</w:t>
      </w:r>
    </w:p>
    <w:p>
      <w:r>
        <w:t>Au sens strict du terme, une communauté domestique implique que les personnes considérées vivent "en ménage commun", c'est-à-dire vivent sous le même toit et mangent à la même table (in gemeinsamer Wohnung und Verpflegung). C'est de cette vie en commun que doivent procéder naturellement, par des contacts quotidiens, des relations personnelles et une connaissance mutuelle d'autant plus étroites et solides que cette communauté se prolonge (cf. EGGER, Kommentar, n. 10 ad art. 331 CC; voir également la notion étroite de ménage commun de l'art. 110 CP, RO 72 IV 5, 86 IV 158). Certes, on ne saurait exiger une continuité absolue: des absences occasionnelles pour cause d'études, de service militaire, de voyages professionnels laissent subsister la communauté domestique pour autant toutefois que cette communauté se reforme naturellement dès que la cause d'interruption cesse.</w:t>
      </w:r>
    </w:p>
    <w:p>
      <w:r>
        <w:rPr>
          <w:b/>
        </w:rPr>
        <w:t>E. 5</w:t>
      </w:r>
    </w:p>
    <w:p>
      <w:r>
        <w:t>En l'espèce, cette condition n'est pas réalisée. Hauser, qui travaille à Genève, a toujours résidé à Lausanne, sauf deux absences de six mois chacune en Angleterre (1963 et 1966) et un séjour de deux ans à Zurich de 1967 à 1969; il réside encore à l'heure actuelle à Lausanne et ne passe chez dame de Marval que ses fins de semaines. Ces séjours de fin de semaine, même réguliers, d'une personne résidant dans un autre lieu ne créent pas un centre BGE 101 II 3 S. 7 d'intérêts et ne réalisent pas la condition légale de vie en communauté domestique; il y manque en effet un élément essentiel, soit la continuité de la vie commune.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