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21</w:t>
      </w:r>
    </w:p>
    <w:p>
      <w:r>
        <w:t>Bundesgericht (BGE), 1975-01-01, FR</w:t>
      </w:r>
    </w:p>
    <w:p>
      <w:r>
        <w:rPr>
          <w:b/>
        </w:rPr>
        <w:t xml:space="preserve">Quelle: </w:t>
      </w:r>
      <w:r>
        <w:t>https://mcp.opencaselaw.ch/entscheid/bge_BGE_101_II_21</w:t>
      </w:r>
    </w:p>
    <w:p>
      <w:r>
        <w:t>FR: ATF 101 II 21</w:t>
      </w:r>
    </w:p>
    <w:p>
      <w:r>
        <w:t>IT: DTF 101 II 21</w:t>
      </w:r>
    </w:p>
    <w:p>
      <w:pPr>
        <w:pStyle w:val="Heading2"/>
      </w:pPr>
      <w:r>
        <w:t>Regeste</w:t>
      </w:r>
    </w:p>
    <w:p>
      <w:r>
        <w:t>Regeste Art. 328 ZGB. Bei der Abklärung der Bedürftigkeit dürfen die im Betreibungsrecht aufgestellten Regeln über den Notbedarf herangezogen werden. Die auf diese Weise ermittelten Beträge stellen indessen ein Minimum dar. Es darf dabei nur das Einkommen berücksichtigt werden, das mit einer üblichen Arbeit erzielt werden kann. Wenn die Mutter von zwei Kindern ein bescheidenes Vermögen besitzt, das aus der güterrechtlichen Auseinandersetzung stammt, ist sie nicht verpflichtet, dieses vollständig aufzubrauchen, bevor sie eine Alimentenklage erheben kann. Zur Unterstützung können die Grosseltern väterlicherseits nur dann ausschliesslich herangezogen werden, wenn die Leistungsfähigkeit der Grosseltern mütterlicherseits eine Unterstützungspflicht unzumutbar erscheinen lassen.</w:t>
      </w:r>
    </w:p>
    <w:p>
      <w:r>
        <w:t>Regeste Art. 328 CC. Dans l'appréciation de la notion de besoin, il est admissible de s'inspirer des règles sur le minimum vital en matière de poursuite. Mais les chiffres fixés de cette manière représentent un extrême et on ne doit tenir compte que des revenus qu'il est possible de tirer d'un travail ordinaire. Si la mère de deux enfants dispose d'un modeste capital reçu à titre de liquidation du régime matrimonial, elle n'a pas l'obligation de le consumer entièrement avant de pouvoir ouvrir une action alimentaire. Les grands-parents paternels et maternels doivent être recherchés en fonction de leur faculté de contribution respective.</w:t>
      </w:r>
    </w:p>
    <w:p>
      <w:r>
        <w:t>Regesto Art. 328 CC. L'apprezzamento della nozione di bisogno può essere ispirato alle regole sul minimo vitale della legislazione sull'esecuzione. Le cifre fissate in tal modo rappresentano però un estremo e non può essere tenuto conto che del reddito del lavoro ordinario. La madre di due figli in giovane età che dispone di un modesto capitale pertoccatole a titolo di liquidazione del regime matrimoniale non è tenuta a consumarlo interamente prima di poter promuovere l'azione di assistenza. Gli avi paterni e materni devono essere chiamati ad una contribuzione proporzionale alle rispettive facoltà.</w:t>
      </w:r>
    </w:p>
    <w:p>
      <w:pPr>
        <w:pStyle w:val="Heading2"/>
      </w:pPr>
      <w:r>
        <w:t>Erwägungen</w:t>
      </w:r>
    </w:p>
    <w:p>
      <w:r>
        <w:rPr>
          <w:b/>
        </w:rPr>
        <w:t>E. 1</w:t>
      </w:r>
    </w:p>
    <w:p>
      <w:r>
        <w:t>et 2.- (...)</w:t>
      </w:r>
    </w:p>
    <w:p>
      <w:r>
        <w:rPr>
          <w:b/>
        </w:rPr>
        <w:t>E. 3</w:t>
      </w:r>
    </w:p>
    <w:p>
      <w:r>
        <w:t>L'obligation d'entretien des parents passe avant l'obligation alimentaire des grands-parents (EGGER, n. 14 ad art. 328 CC). Les recourantes doivent ainsi établir qu'elles sont dans le besoin, soit que leur mère, responsable en première ligne de leur entretien, ne peut y subvenir. La cour cantonale a rejeté l'action alimentaire parce qu'elle a considéré que dame Besse était capable de pourvoir seule à l'entretien de ses filles. Elle a considéré, en application des normes sur le minimum vital en matière de poursuite, que dame Besse avait besoin de 1'500 fr. par mois; que, gagnant 1'200 fr. par mois plus 200 fr. d'heures supplémentaires et 100 fr. d'allocations familiales, elle atteignait ce minimum; qu'en outre, elle disposait depuis le 1er septembre 1974 d'une somme de 20'000 fr., à titre de pension pour ses filles ou de restitution des biens réservés, somme qu'elle pouvait et devait affecter à l'entretien des recourantes avant de prétendre intenter une action alimentaire. Ces considérations reposent sur une notion trop stricte du besoin. Pour déterminer si l'existence d'un besoin est établie, le juge peut s'inspirer des règles sur le minimum vital en BGE 101 II 21 S. 24 matière de poursuite. Mais les chiffres fixés de cette manière représentent un extrême. D'ailleurs, même si l'on retient le chiffre de 1'500 fr. par mois, la cour cantonale a tenu compte à tort, dans son calcul, des heures supplémentaires accomplies par la mère des recourantes. En effet, on ne doit tenir compte que des revenus qu'il est possible de tirer d'un travail ordinaire et il n'est pas admissible d'exiger de la mère de deux enfants en bas âge qu'elle accomplisse régulièrement des heures de travail supplémentaires pour parvenir à atteindre le minimum vital. Au surplus, la cour cantonale n'a pas élucidé la cause juridique du paiement de 20'000 fr. au 1er septembre 1974. S'il s'est agi d'une indemnité en liquidation du régime matrimonial, elle ne pouvait imposer à la mère des recourantes l'obligation de la consommer entièrement avant de pouvoir ouvrir une action alimentaire. En effet, ce modeste capital peut être réservé à l'affectation de dépenses extraordinaires ou de frais d'établissement. En revanche, il incombait à la cour cantonale de fixer le revenu de ce capital et de l'ajouter aux gains de la mère des recourantes dans le calcul des sommes nécessaires à couvrir leurs besoins. Si, au contraire, il s'avérait que ce paiement est destiné à couvrir la pension due, il couvre alors les besoins des recourantes et, en l'admettant, les premiers juges n'ont pas violé le droit fédéral. En effet, la curatrice de dame Besse aurait accepté dans cette hypothèse un règlement global, intervenant à une échéance moyenne, qui couvre les besoins des recourantes et de leur mère jusqu'à fin juillet 1975.</w:t>
      </w:r>
    </w:p>
    <w:p>
      <w:r>
        <w:rPr>
          <w:b/>
        </w:rPr>
        <w:t>E. 4</w:t>
      </w:r>
    </w:p>
    <w:p>
      <w:r>
        <w:t>Il est constant que le défendeur est largement en mesure de pourvoir aux besoins de ses petits-enfants. Cependant, les débiteurs de la pension, soit les grands-parents paternels et maternels, doivent être recherchés en proportion de leurs facultés de contribution respectives. La totalité des aliments nécessaires ne pourrait être exigée de l'intimé que si les grands-parents maternels des demanderesses étaient dans l'incapacité de faire quoi que ce soit. Or la cour cantonale, sans indiquer avec précision quels sont la fortune et le revenu des grands-parents Besse, constate qu'ils disposent d'une fortune immobilière et mobilière qui, si elle n'est pas considérable, n'est pas complètement négligeable. L'arrêt déféré ne fournit aucune indication sur le revenu de ces époux, notamment le revenu du travail. BGE 101 II 21 S. 25 Il appartiendra dès lors à la cour cantonale de déterminer les ressources effectives des grands-parents maternels et d'en tenir compte pour fixer l'obligation alimentaire du défendeur, au cas où elle arriverait à la conclusion que les recourantes sont dans le besoin.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