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121</w:t>
      </w:r>
    </w:p>
    <w:p>
      <w:r>
        <w:t>Bundesgericht (BGE), 1975-01-01, DE</w:t>
      </w:r>
    </w:p>
    <w:p>
      <w:r>
        <w:rPr>
          <w:b/>
        </w:rPr>
        <w:t xml:space="preserve">Quelle: </w:t>
      </w:r>
      <w:r>
        <w:t>https://mcp.opencaselaw.ch/entscheid/bge_BGE_101_II_121</w:t>
      </w:r>
    </w:p>
    <w:p>
      <w:r>
        <w:t>FR: ATF 101 II 121</w:t>
      </w:r>
    </w:p>
    <w:p>
      <w:r>
        <w:t>IT: DTF 101 II 121</w:t>
      </w:r>
    </w:p>
    <w:p>
      <w:pPr>
        <w:pStyle w:val="Heading2"/>
      </w:pPr>
      <w:r>
        <w:t>Regeste</w:t>
      </w:r>
    </w:p>
    <w:p>
      <w:r>
        <w:t>Regeste Rechtsnatur einer Vereinbarung, welche die Verwaltung von Wertschriften, die Führung eines Kontos und die Anlage von Geld zum Gegenstand hat (Erw. 1). Art. 425 Abs. 2 in Verbindung mit Art. 398 OR. Sorgfaltspflicht der Bank beim Kauf von Wertpapieren. Risikoverteilung (Erw. 2).</w:t>
      </w:r>
    </w:p>
    <w:p>
      <w:r>
        <w:t>Regeste Nature juridique d'une convention ayant pour objet l'administration de papiers-valeurs, la tenue d'un compte et le dépôt d'argent (consid. 1). Art. 425 al. 2 et art. 398 CO. Devoir de diligence de la banque lors de l'achat de papiers-valeurs. Répartition des risques (consid. 2).</w:t>
      </w:r>
    </w:p>
    <w:p>
      <w:r>
        <w:t>Regesto Natura giuridica di una convenzione avente per oggetto l'amministrazione di titoli di credito (cartevalori), la tenuta di un conto e il deposito di denaro (consid. 1). Art. 425 cpv. 2 e art. 398 CO. Dovere di diligenza della banca nell'acquisto di cartevalori. Ripartizione dei rischi (consid. 2).</w:t>
      </w:r>
    </w:p>
    <w:p>
      <w:pPr>
        <w:pStyle w:val="Heading2"/>
      </w:pPr>
      <w:r>
        <w:t>Erwägungen</w:t>
      </w:r>
    </w:p>
    <w:p>
      <w:r>
        <w:rPr>
          <w:b/>
        </w:rPr>
        <w:t>E. 1</w:t>
      </w:r>
    </w:p>
    <w:p>
      <w:r>
        <w:t>Die Beklagte hatte sich als Rechtsnachfolgerin der Bank D in Basel verpflichtet, für den Kläger ein Wertschriftendepot zu verwalten, ein Konto zu führen und insbesondere Geld anzulegen. Zweck der undatierten Vereinbarung vom März 1968 war also die Verwahrung, Verwaltung sowie der Kauf und Verkauf von Wertpapieren. Es besteht somit nach zutreffender Ansicht der Vorinstanz eine Verbindung von Hinterlegungsvertrag, Auftrag und Kommissionsvertrag, also ein gemischtes Rechtsgeschäft (vgl. BGE 94 II 169 ; GAUTSCHI, N. 2b zu Art. 425 OR ). Dabei steht, wie sich aus der Vereinbarung klar ergibt, der Kauf und Verkauf von Wertpapieren, also Kommissionsrecht im Vordergrund. Die Beklagte war daher zu getreuer und sorgfältiger Geschäftsführung verpflichtet (Art. 425 Abs. 2 in Verbindung mit Art. 398 OR ).</w:t>
      </w:r>
    </w:p>
    <w:p>
      <w:r>
        <w:rPr>
          <w:b/>
        </w:rPr>
        <w:t>E. 2</w:t>
      </w:r>
    </w:p>
    <w:p>
      <w:r>
        <w:t>Der Kläger wirft der Beklagten vor, sie habe beim Kauf der streitigen Wertpapiere die Grundsätze einer sorgfältigen Vermögensanlage (Verteilung des Risikos auf verschiedene Wertpapiere, die sich auf Gesellschaften verschiedener Länder und verschiedener Branchen beziehen usw.) verletzt. a) Die Beklagte durfte auf Grund der Vereinbarung vom März 1968 nach freiem Ermessen schweizerische und ausländische Wertschriften (Aktien, Obligationen usw.) kaufen und wieder verkaufen, wenn sie es als angezeigt erachtete. Ob sie das Geld des Klägers in Wertpapiere von Gesellschaften aus verschiedenen Ländern und Branchen anlegte, war weitgehend BGE 101 II 121 S. 124 eine Ermessenssache. Sie konnte auch bei sorgfältiger Auswahl der Titel Verluste nicht vermeiden, da die Kurse von verschiedenen Umständen abhängen und in der Regel nicht vorauszusehen sind. Der Kläger durfte daher nicht nur mit Gewinnen rechnen, sondern hatte auch Verluste in Kauf zu nehmen. b) Das Appellationsgericht beurteilt die Anlagepolitik der Beklagten im wesentlichen auf Grund eines Berichtes des Schweizerischen Bankvereines vom 30. September 1974. Daraus geht unter anderem hervor, dass sich die Börse in den Vereinigten Staaten im Jahre 1968 in einer "euphorischen Stimmung" befand und dass rückblickend in jenem Jahr der Höhepunkt einer langfristigen Aufwärtsbewegung erreicht wurde. Die Beklagte kaufte die streitigen Wertpapiere noch während dieser günstigen Entwicklung. Nach verbindlicher Feststellung des Appellationsgerichtes deutete damals nichts auf den allgemein starken Kursrückgang der Jahre 1969/70 hin und waren weder Produktions- noch Absatzschwierigkeiten der in Frage stehenden amerikanischen Gesellschaften vorauszusehen. Unter diesen Umständen kann grundsätzlich nicht gesagt werden, die Beklagte habe das ihr anvertraute Geld unsorgfältig angelegt. Dabei ist auch zu bedenken, dass der Handel mit Wertpapieren - Hauptzweck des Vertrages - zwangsläufig einen spekulativen Einschlag hat. Der Kauf von McDonnell-Aktien, die im Jahre 1968 festgestelltermassen als interessante, wenn auch leicht spekulative Wertpapiere galten, kann daher nicht als pflichtwidrig beanstandet werden. Dasselbe trifft auch zu für die Wandelobligation LTV, die zwar als "spekulativer" bezeichnet wurde. Sie wird indessen im Jahre 1988 zum Nennwert zurückbezahlt, falls ihr Inhaber die Wandlung nicht verlangt. Als "reichlich spekulativ" wurde dagegen der Ankauf der Aktien Clinton Oil bezeichnet. Ihr Einstandspreis von Fr. 14'000.-- lag jedoch unter den 20% des anvertrauten Geldes (Fr. 107'355.25), die der Kläger als für spekulative Käufe zulässig bezeichnet hatte. Die Sorgfaltspflicht wurde somit auch hier nicht verletzt. c) Richtig ist, dass die Vorinstanz sich nicht darüber äussert, ob das Anlagerisiko auf Aktien von Gesellschaften verschiedener Länder und Branchen zu verteilen sei. Berücksichtigt man, dass die Börse in den Vereinigten Staaten im massgebenden Zeitpunkt (1968/69) einen Höhepunkt erreicht hat, BGE 101 II 121 S. 125 so kann der Beklagten nicht vorgeworfen werden, sie habe zuviel Geld in amerikanische Aktien und Wandelobligationen angelegt. Zudem vertraute der Kläger das Geld einer amerikanisch beherrschten Bank zu Anlagezwecken an und musste er damit rechnen, dass diese in erster Linie - mangels anders lautender Weisungen - amerikanische Wertpapiere bevorzugen werde. Daher verletzte die Vorinstanz Bundesrecht nicht, indem sie über die Behauptung des Klägers, bei anderer geographischer Streuung des Risikos wären die Kursverluste ausgeblieben, keine Beweise abnahm. d) Im übrigen geht aus den Akten des vom Kläger gegen die Organe der Beklagten angestrengten Strafverfahrens hervor, dass die Beklagte Wertpapiere jeweils in grossen Mengen an der Börse für den Kläger und andere Kunden gekauft hat. Alle diese Käufe waren weder sogenannte Nostro-Geschäfte, noch solche für Kunden, die der Beklagten nahe standen oder von ihr sonstwie begünstigt wurden. Es bleibt somit bei der Ansicht der Vorinstanz, dass die Beklagte die ihr obliegende Sorgfaltspflicht bei der Vermögensanlage für den Kläger nicht verletzt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