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II 11</w:t>
      </w:r>
    </w:p>
    <w:p>
      <w:r>
        <w:t>Bundesgericht (BGE), 1975-01-01, DE</w:t>
      </w:r>
    </w:p>
    <w:p>
      <w:r>
        <w:rPr>
          <w:b/>
        </w:rPr>
        <w:t xml:space="preserve">Quelle: </w:t>
      </w:r>
      <w:r>
        <w:t>https://mcp.opencaselaw.ch/entscheid/bge_BGE_101_II_11</w:t>
      </w:r>
    </w:p>
    <w:p>
      <w:r>
        <w:t>FR: ATF 101 II 11</w:t>
      </w:r>
    </w:p>
    <w:p>
      <w:r>
        <w:t>IT: DTF 101 II 11</w:t>
      </w:r>
    </w:p>
    <w:p>
      <w:pPr>
        <w:pStyle w:val="Heading2"/>
      </w:pPr>
      <w:r>
        <w:t>Regeste</w:t>
      </w:r>
    </w:p>
    <w:p>
      <w:r>
        <w:t>Regeste Wegnahme eines Kindes gemäss Art. 284 ZGB; örtliche Zuständigkeit. Örtlich zuständig ist die Behörde am Wohnsitz des Kindes bzw. desjenigen Elternteils, dessen elterliche Gewalt durch die Wegnahme eingeschränkt werden soll; in zeitlicher Hinsicht ist die Einleitung des Administrativverfahrens massgebend.</w:t>
      </w:r>
    </w:p>
    <w:p>
      <w:r>
        <w:t>Regeste Retrait de la garde d'un enfant selon l'art. 284 CC; compétence ratione loci. Est compétente ratione loci l'autorité du domicile de l'enfant ou de celui des parents dont la puissance paternelle doit être restreinte par le retrait de la garde de l'enfant; dans le temps, l'ouverture de la procédure administrative est déterminante.</w:t>
      </w:r>
    </w:p>
    <w:p>
      <w:r>
        <w:t>Regesto Ricovero di un figlio a norma dell'art. 284 CC; competenza per territorio. È competente per territorio l'autorità del domicilio del figlio, rispettivamente del genitore al quale deve essere ristretto l'esercizio della patria potestà: determinante è il momento dell'apertura della procedura amministrativa.</w:t>
      </w:r>
    </w:p>
    <w:p>
      <w:pPr>
        <w:pStyle w:val="Heading2"/>
      </w:pPr>
      <w:r>
        <w:t>Erwägungen</w:t>
      </w:r>
    </w:p>
    <w:p>
      <w:r>
        <w:rPr>
          <w:b/>
        </w:rPr>
        <w:t>E. 1</w:t>
      </w:r>
    </w:p>
    <w:p>
      <w:r>
        <w:t>(Formelles)</w:t>
      </w:r>
    </w:p>
    <w:p>
      <w:r>
        <w:rPr>
          <w:b/>
        </w:rPr>
        <w:t>E. 2</w:t>
      </w:r>
    </w:p>
    <w:p>
      <w:r>
        <w:t>a) Zur Wegnahme eines Kindes im Sinne von Art. 284 Abs. 1 ZGB enthält das Gesetz keine Bestimmung über die örtliche Zuständigkeit. Die Rechtsprechung hat diese Lücke durch analoge Anwendung von Art. 376 Abs. 1 ZGB (Bevormundung) gefüllt ( BGE 89 II 14 ). Zuständig ist somit die Behörde am Wohnsitz des Kindes bzw. desjenigen Elternteils, dessen elterliche Gewalt durch die Wegnahme eingeschränkt werden soll. In zeitlicher Hinsicht ist - entsprechend der Praxis zur Entmündigung ( BGE 95 II 515 ; BGE 50 II 98 E. 3) - die Einleitung des Administrativverfahrens massgebend. Auch beim Verfahren nach Art. 283 ff. ZGB soll sich der betroffene Elternteil nämlich nicht durch einen Wohnsitzwechsel der Massnahme entziehen können. b) Im Kanton Aargau ist der Gemeinderat die sachlich zuständige Vormundschaftsbehörde (§ 59 Abs. 1 des aargauischen Einführungsgesetzes zum ZGB). In dieser Eigenschaft hat der Gemeinderat von X. bereits am 15. Oktober 1973 A.Z. in der Person von Amtsvormund Y. einen Beistand bestellt und letzteren ersucht, "sich sofort der Verhältnisse anzunehmen und der Vormundschaftsbehörde Bericht und Antrag über seine Wahrnehmungen bzw. über das weitere Vorgehen zu stellen". Damit hat er jenes Verfahren eingeleitet, das mit dem Entscheid vom 20. November 1973 seinen Abschluss fand. Massgebliches Datum für die Begründung der örtlichen Zuständigkeit (der aargauischen Behörden) war demnach der 15. Oktober 1973. Daran vermag auch die Tatsache, dass die Ermittlungen dem Beistand übertragen worden waren, nichts zu ändern. Da der Beschwerdeführer nicht behauptet, er habe BGE 101 II 11 S. 13 schon am 15. Oktober 1973 seinen Wohnsitz nach Zürich verlegt gehabt, ist die Beschwerde in diesem Punkt abzuweisen.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