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58</w:t>
      </w:r>
    </w:p>
    <w:p>
      <w:r>
        <w:t>Bundesgericht (BGE), 1975-01-01, FR</w:t>
      </w:r>
    </w:p>
    <w:p>
      <w:r>
        <w:rPr>
          <w:b/>
        </w:rPr>
        <w:t xml:space="preserve">Quelle: </w:t>
      </w:r>
      <w:r>
        <w:t>https://mcp.opencaselaw.ch/entscheid/bge_BGE_101_III_58</w:t>
      </w:r>
    </w:p>
    <w:p>
      <w:r>
        <w:t>FR: ATF 101 III 58</w:t>
      </w:r>
    </w:p>
    <w:p>
      <w:r>
        <w:t>IT: DTF 101 III 58</w:t>
      </w:r>
    </w:p>
    <w:p>
      <w:pPr>
        <w:pStyle w:val="Heading2"/>
      </w:pPr>
      <w:r>
        <w:t>Regeste</w:t>
      </w:r>
    </w:p>
    <w:p>
      <w:r>
        <w:t>Regeste Arrestverfahren. 1. Das Betreibungsamt, das mit einem Arrestbegehren befasst ist, hat Dritte aufzufordern, über die bei ihnen zu arrestierenden Gegenstände Auskunft zu erteilen. Darauf hat es zu entscheiden, ob der Arrest erfolglos war oder ob er zum Ziel geführt hat oder zum Ziel geführt haben kann (E. 1, Bestätigung der Rechtsprechung). 2. Fällt die Arrestprosequierungsklage in die Zuständigkeit eines Schiedsgerichtes, so hat der Gläubiger innert zehn Tagen die ersten Schritte zur Bestimmung der Schiedsrichter zu unternehmen. Er hat die Klage sodann innert zehn Tagen nach Bestellung des Schiedsgerichtes einzuleiten (E. 2). 3. Banken sind verpflichtet, dem Betreibungsamt Auskunft zu erteilen über die Arrestgegenstände, die in ihren Besitze sind; sie können sich nicht auf das Bankengeheimnis berufen. Verweigern sie ihre Mitwirkung gleichwohl, so haften sie für allfälligen Schaden; hingegen können Banken in dieser Verfahrensstufe keine strafrechtlichen Sanktionen angedroht werden, wenn ein Arrest zur Sicherung einer Forderung dienen soll, deren Bestand im Zeitpunkt der Anordnung noch ungewiss ist (E. 3).</w:t>
      </w:r>
    </w:p>
    <w:p>
      <w:r>
        <w:t>Regeste Procédure de séquestre. 1. Saisi d'une requête de séquestre, l'Office des poursuites doit inviter le tiers séquestré à se déterminer de manière précise, puis doit prendre position sur le point de savoir si le séquestre a échoué, a abouti ou peut avoir abouti (consid. 1, confirmation de jurisprudence). 2. Lorsque l'action en validation d'un séquestre est de la compétence d'un Tribunal arbitral, le créancier, si ce Tribunal n'est pas déjà constitué, doit entreprendre dans les dix jours les démarches en vue de la désignation des arbitres. Le Tribunal arbitral une fois constitué, le créancier doit introduire son action dans les dix jours (consid. 2). 3. Les banques sont tenues de renseigner l'Office des poursuites sur les biens séquestrés qu'elles détiennent et ne peuvent se retrancher derrière le secret bancaire. Si elles refusent néanmoins de prêter leur concours à l'Office, elles engagent leur responsabilité civile; cependant, lorsque le séquestre est ordonné en garantie d'une créance dont l'existence est encore incertaine au moment où il est exécuté, une banque ne peut être menacée de sanctions pénales à ce stade préliminaire de la poursuite (consid. 3).</w:t>
      </w:r>
    </w:p>
    <w:p>
      <w:r>
        <w:t>Regesto Procedura di sequestro. 1. Investito di una richiesta di sequestro, l'ufficio d'esecuzione deve invitare il terzo presso cui si trovano gli oggetti sequestrandi a fornire precise informazioni; l'ufficio deve quindi decidere se il sequestro è infruttuoso, riuscito o suscettibile di esserlo (consid. 1 - conferma della giurisprudenza). 2. Quando l'azione di riconoscimento del credito è domandata a un Tribunale arbitrale, il creditore, se il Tribunale non è già costituito, deve agire nel termine di dieci giorni per la designazione degli arbitri. Costituito il Tribunale arbitrale il creditore deve proporre l'azione nel termine di 10 giorni (consid. 2). 3. Le banche sono obbligate a informare l'ufficio d'esecuzione circa i beni sequestrati che detengono e non possono invocare il segreto bancario. Se tuttavia rifiutano la loro collaborazione all'ufficio d'esecuzione, esse sono civilmente responsabili per eventuali danni. Ciononostante, se il sequestro è decretato in garanzia di un credito la cui esistenza è ancora incerta al momento della sua esecuzione, non possono essere comminate sanzioni penali alla banca in questo stadio preliminare della procedura (consid. 3).</w:t>
      </w:r>
    </w:p>
    <w:p>
      <w:pPr>
        <w:pStyle w:val="Heading2"/>
      </w:pPr>
      <w:r>
        <w:t>Erwägungen</w:t>
      </w:r>
    </w:p>
    <w:p>
      <w:r>
        <w:rPr>
          <w:b/>
        </w:rPr>
        <w:t>E. 1</w:t>
      </w:r>
    </w:p>
    <w:p>
      <w:r>
        <w:t>Le créancier qui requiert un séquestre est tenu de justifier sa créance et le cas de séquestre (art. 272 LP); cependant, une preuve stricte de la créance n'est pas exigée; une simple vraisemblance suffit (JAEGER, n. 7 ad art. 272 LP; BLUMENSTEIN, Handbuch des Schuldbetreibungsrechts, p. 837; FRITZSCHE, Schuldbetreibung und Konkurs, vol. II, 2e éd., p. 217; FAVRE, Cours de droit des poursuites, 3e éd., p. 360). Par son arrêt du 4 juin 1974, le Tribunal fédéral a invité l'autorité cantonale de surveillance à compléter ou faire compléter l'instruction en interpellant les banques auprès desquelles BGE 101 III 58 S. 62 les séquestres avaient été requis, et à prendre position sur le point de savoir si le séquestre avait échoué, avait abouti ou pouvait avoir abouti. A la suite de cet arrêt, l'Office des poursuites de Genève a sommé derechef les trois banques de lui "faire une déclaration complète concernant les biens séquestrés". Le Crédit suisse s'est retranché derrière le secret bancaire et a estimé qu'il n'était pas tenu de faire une déclaration au stade de la procédure de séquestre. La SBS s'est refusée à donner les renseignements demandés, faisant valoir que la jurisprudence de l'arrêt publié au RO 75 III 108 ss n'était pas modifiée par l'arrêt du 4 juin 1974. L'UBS n'a pas répondu du tout. Au lieu de prendre position sur le point de savoir si les séquestres avaient échoué, abouti ou pouvaient avoir abouti, l'Office des poursuites a communiqué à l'autorité cantonale de surveillance, le 21 août 1974, qu'il maintenait son procès-verbal de séquestre et qu'il ne pourrait faire figurer les réponses des banques au procès-verbal que lorsqu'elles auraient donné suite à ses demandes. Par là, l'Office des poursuites ne s'est pas conformé à l'arrêt du 4 juin 1974. L'autorité cantonale de surveillance a ainsi jugé avec raison que l'Office des poursuites devait apprécier les informations qu'il avait pu recueillir et dire dans le procès-verbal s'il en concluait que des actifs tombant sous le coup du séquestre existaient ou pouvaient exister et si le séquestre avait abouti ou échoué. Elle a dès lors décidé à juste titre d'inviter l'Office des poursuites ä se prononcer, ä porter sa détermination au procès-verbal et à en informer les parties. Ces instructions correspondent à l'arrêt du 4 juin 1974.</w:t>
      </w:r>
    </w:p>
    <w:p>
      <w:r>
        <w:rPr>
          <w:b/>
        </w:rPr>
        <w:t>E. 2</w:t>
      </w:r>
    </w:p>
    <w:p>
      <w:r>
        <w:t>Devant l'autorité cantonale de surveillance, la recourante a fait valoir que la créancière n'avait pas validé le séquestre par une action en justice introduite dans le délai de dix jours de l'art. 278 al. 2 LP et que, dès lors, le séquestre était devenu caduc. L'intimée prétend pour sa part avoir procédé aux démarches nécessaires pour la constitution du tribunal arbitral prévu par la convention liant les parties. Le séquestre serait caduc et ne produirait plus d'effets, si l'action en validation n'avait pas été introduite en temps utile. Comme l'a relevé avec raison l'autorité cantonale de surveillance, lorsque l'action en validation du séquestre est de la compétence d'un tribunal arbitral, le créancier, si ce tribunal BGE 101 III 58 S. 63 n'est pas déjà constitué, doit entreprendre dans les dix jours les démarches en vue de la désignation des arbitres; à cet égard, il est tenu de faire diligence; de son côté, le débiteur ne doit pas agir d'une manière contraire à la bonne foi (cf. SJ 1942 p. 539; RO 56 III 236/237); le tribunal arbitral une fois constitué, le créancier doit introduire son action dans les dix jours, afin d'assurer, dans le temps, le lien organique entre la poursuite consécutive au séquestre et le procès en validation. L'autorité cantonale a ainsi enjoint avec raison à l'Office des poursuites de déterminer d'abord si le créancier avait entrepris les démarches nécessaires à valider le séquestre. En effet, si le séquestre est devenu caduc, l'Office des poursuites le constatera et le communiquera aux parties; il ne sera alors pas nécessaire qu'il se prononce sur le le point de savoir si le séquestre a échoué, abouti ou peut avoir abouti, et mentionne sa décision au procès-verbal.</w:t>
      </w:r>
    </w:p>
    <w:p>
      <w:r>
        <w:rPr>
          <w:b/>
        </w:rPr>
        <w:t>E. 3</w:t>
      </w:r>
    </w:p>
    <w:p>
      <w:r>
        <w:t>Les banques sont tenues de renseigner l'Office des poursuites sur les biens séquestrés qu'elles détiennent et ne peuvent pas se retrancher derrière le secret bancaire pour refuser de se déterminer; elles engagent leur responsabilité civile envers le créancier séquestrant si elles lui causent un dommage par leur attitude (RO 75 III 108-110; 100 III 29 ). En revanche, lorsque le séquestre est ordonné en garantie d'une créance dont l'existence est encore incertaine au moment où il est exécuté, une banque ne peut pas être menacée de sanctions pénales (art. 292 CP), à ce stade préliminaire de la poursuite, pour le cas où elle refuse de prêter son concours à l'Office (RO 75 III 110). Cette jurisprudence a soulevé des controverses. Elle est approuvée par certains auteurs, tels VON ARX (Über die Auskunftpflicht der Banken im Arrestverfahren, SJZ 1948 p. 369 ss = BlSchK 1949 p. 33 ss), WOLF (Zur Auskunftpflicht der Banken im Arrestverfahren, BlSchK 1949 p. 65 ss) et FRITZSCHE (Schuldbetreibung und Konkurs, vol. II, 2e éd., pp. 222/223); elle est en revanche critiquée notamment par HEGETSCHWEILER (Über die Auskunftpflicht der Banken im Arrestverfahren, SJZ 1949 p. 38 ss), PERRIN (Les banques dans la procédure de séquestre, SJZ 1950 p. 187 ss) et SCHAEFER (Das Bankgeheimnis, SJZ 1953 p. 338). Il n'est toutefois pas nécessaire de prendre position sur les BGE 101 III 58 S. 64 critiques dirigées contre la jurisprudence précitée, qui n'a pas été modifiée par l'arrêt du 4 juin 1974. Dans l'espèce, en effet, les banques se retranchent derrière le secret bancaire, ainsi que cela ressort de leurs déterminations. Si la recourante tient, comme elle le prétend, à ce que les banques fournissent à l'Office les renseignements demandés, il lui appartient de lever l'incertitude, de délier ces établissements du secret bancaire et de les inviter à donner suite aux sommations de l'Office des poursuites.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