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36</w:t>
      </w:r>
    </w:p>
    <w:p>
      <w:r>
        <w:t>Bundesgericht (BGE), 1975-01-01, IT</w:t>
      </w:r>
    </w:p>
    <w:p>
      <w:r>
        <w:rPr>
          <w:b/>
        </w:rPr>
        <w:t xml:space="preserve">Quelle: </w:t>
      </w:r>
      <w:r>
        <w:t>https://mcp.opencaselaw.ch/entscheid/bge_BGE_101_III_36</w:t>
      </w:r>
    </w:p>
    <w:p>
      <w:r>
        <w:t>FR: ATF 101 III 36</w:t>
      </w:r>
    </w:p>
    <w:p>
      <w:r>
        <w:t>IT: DTF 101 III 36</w:t>
      </w:r>
    </w:p>
    <w:p>
      <w:pPr>
        <w:pStyle w:val="Heading2"/>
      </w:pPr>
      <w:r>
        <w:t>Regeste</w:t>
      </w:r>
    </w:p>
    <w:p>
      <w:r>
        <w:t>Regeste Zwangsverwertung von Grundstücken, Eingabefrist für Ansprüche am Grundstück, ohne Eintragung im Grundbuch bestehendes gesetzliches Grundpfandrecht; Art. 138 Abs. 2 Ziff. 3 SchKG, Art. 836 ZGB. 1. Bei der in Art. 138 Abs. 2 Ziff. 3 SchKG vorgesehenen Eingabefrist für Ansprüche am Grundstück handelt es sich um eine Verwirkungsfrist. Dies gilt auch dann, wenn der Anspruch durch ein ohne Grundbucheintrag bestehendes gesetzliches Pfandrecht gesichert ist (Erw. 2 und 3). 2. Ob eine Forderung durch ein solches Pfandrecht gesichert sei, kann nur der ordentliche Zivilrichter entscheiden (Erw. 4).</w:t>
      </w:r>
    </w:p>
    <w:p>
      <w:r>
        <w:t>Regeste Réalisation des immeubles, délai pour produire les droits sur l'immeuble, hypothèque légale valable sans inscription; art. 138 al. 2 ch. 3 LP; art. 836 CC. 1. Le délai prévu à l'art. 138 al. 2 ch. 3 LP pour la production des droits sur l'immeuble est péremptoire. Ce principe vaut également s'agissant de droits garantis par une hypothèque légale valable sans inscription (consid. 2 et 3). 2. Seul le juge civil ordinaire est compétent pour décider si une créance est garantie par une telle hypothèque (consid. 4).</w:t>
      </w:r>
    </w:p>
    <w:p>
      <w:r>
        <w:t>Regesto Realizzazione di immobili, termine per l'insinuazione delle pretese sull'immobile, ipoteca legale valida senza iscrizione a registro fondiario; art. 138 cpv. 2 n. 3 LEF, art. 836 CC. 1. Il termine previsto dall'art. 138 cpv. 2 n. 3 LEF per l'insinuazione delle pretese sull'immobile è perentorio. Ciò vale anche per le pretese garantite da ipoteca legale valida senza iscrizione a registro fondiario (consid. 2 e 3). 2. Competente a decidere se un credito sia garantito da un'ipoteca legale valida senza iscrizione a registro fondiario è esclusivamente il giudice civile ordinario (consid. 4).</w:t>
      </w:r>
    </w:p>
    <w:p>
      <w:pPr>
        <w:pStyle w:val="Heading2"/>
      </w:pPr>
      <w:r>
        <w:t>Erwägungen</w:t>
      </w:r>
    </w:p>
    <w:p>
      <w:r>
        <w:rPr>
          <w:b/>
        </w:rPr>
        <w:t>E. 1</w:t>
      </w:r>
    </w:p>
    <w:p>
      <w:r>
        <w:t>(Ammissibilità del ricorso.)</w:t>
      </w:r>
    </w:p>
    <w:p>
      <w:r>
        <w:rPr>
          <w:b/>
        </w:rPr>
        <w:t>E. 2</w:t>
      </w:r>
    </w:p>
    <w:p>
      <w:r>
        <w:t>L'accertamento contenuto nella decisione di prima istanza, secondo cui il ricorrente non ha insinuato il suo credito e il preteso diritto ad un'ipoteca legale entro il termine fissato dall'avviso d'incanto, termine che veniva a scadere il 29 luglio 1974, è una constatazione di fatto e quindi vincolante per il Tribunale federale. Il ricorrente nemmeno lo contesta. In tal modo è però decisa anche la sorte del ricorso. I disposti dell'art. 138 cpv. 1 cifra 3 LEF e dell' art. 36 cpv. 1 RFF non lasciano sussistere dubbi sulla circostanza che il termine fissato nell'avviso d'incanto è perentorio. Un'eccezione a tale principio potrebbe tutt'al più entrare in considerazione per diritti reali risultanti dal registro fondiario, oppure in altro modo notificati all'Ufficio esecuzione e fallimenti entro il termine stabilito. Ciò non è tuttavia il caso per quanto riguarda la pretesa del ricorrente. L'Ufficio esecuzione e fallimenti non poteva e non doveva quindi tenerne conto nell'elenco oneri. Chiedendo, con lettera 28 agosto 1974, sotto forma di condizione d'asta, un versamento in contanti per il credito del ricorrente, l'Ufficio modificò in modo inammissibile il contenuto materiale dell'elenco oneri. Esso poteva quindi, in ogni caso entro i termini ricorsuali, sanare simile illegale decisione (cfr. a tal proposito DTF 97 III 5 ). A motivo della festa federale del 15 settembre 1974, il termine per il reclamo avverso la comunicazione del 28 agosto 1974 decorreva solo dal 25 settembre 1974. La disposizione rettificata venne presa il 17 settembre 1974, quindi ancora entro i termini ricorsuali.</w:t>
      </w:r>
    </w:p>
    <w:p>
      <w:r>
        <w:rPr>
          <w:b/>
        </w:rPr>
        <w:t>E. 3</w:t>
      </w:r>
    </w:p>
    <w:p>
      <w:r>
        <w:t>A ragione l'istanza precedente rileva, nel consid. 6 della sua decisione, che se il credito e il pegno fossero stati insinuati tempestivamente, si sarebbe dovuto promuovere la procedura di rivendicazione. In tal caso, l'Ufficio esecuzione e fallimenti, giusta l' art. 36 cpv. 2 RFF , sarebbe stato obbligato ad iscrivere il credito e il pegno nell'elenco oneri e, a termini dell' art. 37 cpv. 2 RFF , sarebbe stato compito degli altri creditori pignoratizi contestare il diritto di pegno, dopo di che si sarebbe dovuta espletare la procedura di rivendicazione a' sensi dell' art. 39 RFF . La stessa non trova per contro applicazione BGE 101 III 36 S. 39 per crediti ipotecari non insinuati o notificati tardivamente. Il ricorso va pertanto respinto.</w:t>
      </w:r>
    </w:p>
    <w:p>
      <w:r>
        <w:rPr>
          <w:b/>
        </w:rPr>
        <w:t>E. 4</w:t>
      </w:r>
    </w:p>
    <w:p>
      <w:r>
        <w:t>Se, ciò malgrado, l'istanza precedente nel consid. 7 della sua decisione esamina la questione dell'esistenza materiale del diritto di pegno, essa si pone in contraddizione con il consid. 6, nel quale tale accertamento è riservato al giudice civile ordinario. La tesi secondo cui un diritto di pegno legale esistente senza iscrizione può essere opposto all'aggiudicatario, quantunque non tempestivamente insinuato nel corso della procedura d'epurazione dell'elenco oneri, appare discutibile. L' art. 29 cpv. 3 RFF e la dottrina (FAVRE, Droit des poursuites, 3a ed. pag. 232) citati dal giudizio cantonale, non concernono ipoteche legali, bensì servitù che anche secondo il CC sussistono senza iscrizione a registro fondiario ( art. 676 cpv. 3 e art. 691 CC ). Queste norme non sono senz'altro applicabili ai diritti di pegno legali, poiché lo scopo della procedura di epurazione dell'elenco oneri, che precede la realizzazione forzata, è appunto quello di accertare definitivamente l'esistenza e il contenuto dei diritti di pegno. Ciò non è compito né dell'Ufficio esecuzione e fallimenti, né dell'autorità di vigilanza. Per questi vale il principio che crediti non insinuati o non tempestivamente insinuati non possono essere tenuti in considerazione nella procedura di realizzazione. L'autorità cantonale doveva pertanto evitare di pronunciarsi sulla validità del diritto di pegno. L'esito del ricorso non ne viene tuttavia modificato. Dispositiv La Camera di esecuzione e dei fallimenti pronuncia: Il ricorso è respinto e il giudizio impugnato è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