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16</w:t>
      </w:r>
    </w:p>
    <w:p>
      <w:r>
        <w:t>Bundesgericht (BGE), 1975-01-14, DE</w:t>
      </w:r>
    </w:p>
    <w:p>
      <w:r>
        <w:rPr>
          <w:b/>
        </w:rPr>
        <w:t xml:space="preserve">Quelle: </w:t>
      </w:r>
      <w:r>
        <w:t>https://mcp.opencaselaw.ch/entscheid/bge_BGE_101_III_16</w:t>
      </w:r>
    </w:p>
    <w:p>
      <w:r>
        <w:t>FR: ATF 101 III 16</w:t>
      </w:r>
    </w:p>
    <w:p>
      <w:r>
        <w:t>IT: DTF 101 III 16</w:t>
      </w:r>
    </w:p>
    <w:p>
      <w:pPr>
        <w:pStyle w:val="Heading2"/>
      </w:pPr>
      <w:r>
        <w:t>Regeste</w:t>
      </w:r>
    </w:p>
    <w:p>
      <w:r>
        <w:t>Regeste Art. 33 Abs. 2 und 88 Abs. 1 SchKG. Die Einhaltung der Frist des Art. 88 Abs. 1 SchKG liegt nicht bloss im Interesse des Schuldners, sondern auch im Interesse Dritter. Das Betreibungsamt hat deshalb diese Frist zu beachten, selbst wenn der Schuldner zum voraus darauf verzichtet, die Nichteinhaltung der Frist geltend zu machen.</w:t>
      </w:r>
    </w:p>
    <w:p>
      <w:r>
        <w:t>Regeste Art. 33 al. 2 et 88 al. 1 LP. Le délai de l'art. 88 al. 1 LP n'a pas été institué seulement dans l'intérêt du débiteur, mais aussi dans l'intérêt de tiers. L'office des poursuites doit donc respecter ce délai, même si le débiteur renonce d'avance à se prévaloir de son inobservation.</w:t>
      </w:r>
    </w:p>
    <w:p>
      <w:r>
        <w:t>Regesto Art. 33 cpv. 2 e 88 cpv. 1 LEF. Il termine di cui all'art. 88 cpv. 1 LEF non è stato istituito solamente nell'interesse del debitore ma anche nell'interesse dei terzi. L'ufficio d'esecuzione deve pertanto rispettarlo anche se il debitore rinuncia in anticipo a prevalersi del mancato ossequio del termine.</w:t>
      </w:r>
    </w:p>
    <w:p>
      <w:pPr>
        <w:pStyle w:val="Heading2"/>
      </w:pPr>
      <w:r>
        <w:t>Erwägungen</w:t>
      </w:r>
    </w:p>
    <w:p>
      <w:r>
        <w:rPr>
          <w:b/>
        </w:rPr>
        <w:t>E. 1</w:t>
      </w:r>
    </w:p>
    <w:p>
      <w:r>
        <w:t>Die Rekurrentinnen bringen vor, gemäss Art. 33 Abs. 2 SchKG könne der Schuldner darauf verzichten, die BGE 101 III 16 S. 17 Nichtbeachtung einer Frist geltend zu machen. Sie geben indessen selbst zu, dass diese Bestimmung gemäss der bundesgerichtlichen Rechtsprechung ( BGE 23 II 1947 /1948) nur zur Anwendung gelangen kann, falls es sich um eine Frist handelt, die ausschliesslich im Interesse des Schuldners aufgestellt ist. Die Rekurrentinnen machen nun geltend, gerade Art. 88 Abs. 1 SchKG enthalte eine solche Frist. Bereits die Vorinstanzen haben diese Auffassung zu Recht abgelehnt. Entgegen den Ausführungen in den Rekursschriften findet diese Auffassung auch in der Literatur keine Stütze. Namentlich JAEGER, Kommentar, N. 5 zu Art. 33 SchKG , führt wohl vorerst Art. 88 Abs. 1 SchKG als Beispiel einer solchen Frist an, um dann jedoch gerade anschliessend zu erklären, dass an der Einhaltung der Fristen von Art. 88 SchKG auch Dritte interessiert seien (vgl. hiezu auch FRITZSCHE, Schuldbetreibung und Konkurs, 2. Aufl., Band I, S. 98; BLUMENSTEIN, Handbuch des Schweizerischen Schuldbetreibungsrechtes, Bern, 1911, S. 201/202; BRÜSTLEIN &amp; WEBER, Schuldbetreibung und Konkurs, 2. Aufl., umgearbeitet von A. Reichel, Zürich, 1901, N. 3 zu Art. 33 SchKG ). In der Tat sind denn auch die Gläubiger daran interessiert, dass die Frist des Art. 88 SchKG nicht nach Belieben des Schuldners abgekürzt oder aufgehoben wird, namentlich im Hinblick auf den Beginn und das Ende der 30tägigen Frist des Art. 110 SchKG , die für die Bildung der Pfändungsgruppen entscheidend ist. Da die Frist des Art. 88 SchKG demnach nicht einzig im Interesse des Schuldners aufgestellt ist, lehnte es das Betreibungsamt zu Recht ab, den von der Schuldnerin ausgesprochenen Verzicht auf die Einhaltung dieser Frist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