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9 vom 1. Januar 1975</w:t>
      </w:r>
    </w:p>
    <w:p>
      <w:r>
        <w:t>Bundesgericht (BGE), 1975-01-01, DE</w:t>
      </w:r>
    </w:p>
    <w:p>
      <w:r>
        <w:rPr>
          <w:b/>
        </w:rPr>
        <w:t xml:space="preserve">Quelle: </w:t>
      </w:r>
      <w:r>
        <w:t>https://mcp.opencaselaw.ch/entscheid/bge_BGE_101_IB_9</w:t>
      </w:r>
    </w:p>
    <w:p>
      <w:r>
        <w:t>FR: BGE BGE 101 IB 9 du 1 janvier 1975</w:t>
      </w:r>
    </w:p>
    <w:p>
      <w:r>
        <w:t>IT: BGE BGE 101 IB 9 del 1 gennaio 1975</w:t>
      </w:r>
    </w:p>
    <w:p>
      <w:pPr>
        <w:pStyle w:val="Heading2"/>
      </w:pPr>
      <w:r>
        <w:t>Regeste</w:t>
      </w:r>
    </w:p>
    <w:p>
      <w:r>
        <w:t>Regeste Ehelicherklärung (Art. 258 ff. ZGB); materiell zu Unrecht bestehender Registereintrag. Auch wenn ein zu Unrecht bestehender Legitimationseintrag durch eine strafbare Handlung veranlasst wurde, darf er nicht auf dem Verwaltungsweg gelöscht werden; die damit im Widerspruch stehenden Weisungen des Eidgenössischen Justiz- und Polizeidepartementes sind mit der gesetzlichen Ordnung nicht vereinbar.</w:t>
      </w:r>
    </w:p>
    <w:p>
      <w:r>
        <w:t>Regeste Légitimation (art. 258 ss CC); inscription au registre erronée quant au fond. Même lorsque l'inscription erronée d'une légitimation est due à un acte punissable, elle ne peut pas être radiée par la voie administrative; les instructions du Département fédéral de justice et police qui contredisent cette règle ne sont pas compatibles avec l'ordre légal.</w:t>
      </w:r>
    </w:p>
    <w:p>
      <w:r>
        <w:t>Regesto Legittimazione (art. 258 segg. CC); iscrizione nel registro sostanzialmente erronea. Non può essere cancellata in via amministrativa l'iscrizione sostanzialmente erronea di una legittimazione neppure se essa è dovuta ad un atto punibile; le istruzioni del Dipartimento federale di giustizia e polizia in contrasto con tale norma non sono compatibili con la disciplina posta dalla legge.</w:t>
      </w:r>
    </w:p>
    <w:p>
      <w:pPr>
        <w:pStyle w:val="Heading2"/>
      </w:pPr>
      <w:r>
        <w:t>Erwägungen</w:t>
      </w:r>
    </w:p>
    <w:p>
      <w:r>
        <w:rPr>
          <w:b/>
        </w:rPr>
        <w:t>E. 1</w:t>
      </w:r>
    </w:p>
    <w:p>
      <w:r>
        <w:t>(Formelles).</w:t>
      </w:r>
    </w:p>
    <w:p>
      <w:r>
        <w:rPr>
          <w:b/>
        </w:rPr>
        <w:t>E. 2</w:t>
      </w:r>
    </w:p>
    <w:p>
      <w:r>
        <w:t>Nach Art. 45 Abs. 1 ZGB darf eine Eintragung in den Zivilstandsregistern nur auf Anordnung des Richters berichtigt werden. Beruht jedoch der Fehler auf einem offenbaren Versehen oder Irrtum, so kann nach Absatz 2 dieser Bestimmung die Aufsichtsbehörde die Berichtigung anordnen. Die gleiche Regelung enthält Art. 50 der Zivilstandsverordnung in den Absätzen 2 und 3. Über das Gesetz hinauszugehen, scheint hingegen Art. 51 Abs. 2 der gleichen Verordnung, indem die Aufsichtsbehörde auch als zuständig bezeichnet wird, dort Löschungen zu verfügen, "wo sich offensichtlich eine Eintragung im vollen Umfang als unrichtig, ungültig oder überflüssig herausstellt". Das Bundesgericht hat indessen in BGE 101 Ib 9 S. 12 Weiterführung einer bereits vom Bundesrat als frühere Rekursinstanz begründeten Rechtsprechung entschieden, dass die Berichtigung einer Eintragung auf dem Verwaltungsweg keinesfalls in Frage kommen kann, wenn von irgend einer Seite mit einem Widerspruch zu rechnen ist oder wenn die Eintragung den Angaben entspricht, über die der Zivilstandsbeamte verfügte ( BGE 76 I 230 ff. ; 89 I 321 /322 Erw. 3; vgl. auch KAUFMANN, Die gerichtliche Berichtigung des Zivilstandsregisters nach Art. 45 ZGB , SJZ 11. Jahrg., 1915, S. 325 ff., insbes. S. 326 sub Ziff. III 1; FORNI, Berichtigung von Zivilstandseintragungen, Zeitschrift für Zivilstandswesen, 1973, S. 186 ff., insbes. S. 187). An dieser Rechtsprechung und der sich daraus ergebenden einschränkenden Auslegung von Art. 51 Abs. 2 der Zivilstandsverordnung ist festzuhalten. Jede Abschwächung des in Art. 45 Abs. 1 ZGB aufgestellten Erfordernisses der richterlichen Anordnung einer Berichtigung würde bedeuten, dass die Betroffenen der Garantien beraubt würden, die ihnen nur ein gerichtliches Verfahren bieten kann. Bereits auf Grund der erwähnten Rechtsprechung ergibt sich, dass die von den Zivilstandsbehörden des Kantons Basel-Stadt verfügte Löschung des Legitimationseintrages aufgehoben werden muss. Es fehlte gleich an beiden Voraussetzungen für die Zulässigkeit einer Berichtigung auf dem Verwaltungsweg. So stand von vornherein fest, dass die Eheleute L. mit der Löschung des Eintrages der Legitimation nicht einverstanden sein würden. Vor allem aber entsprach die Eintragung den Angaben, die dem Zivilstandsbeamten anlässlich der Beurkundung der Legitimation gemacht worden waren. Von einem offenbaren Versehen oder Irrtum im Sinne von Art. 45 Abs. 2 ZGB konnte daher keine Rede sein. Dazu kommt, dass das legitimierte Kind im Strafverfahren, das zur Verurteilung der Eheleute L. wegen Fälschung des Personenstandes und Erschleichung einer falschen Beurkundung führte, gar nicht Partei und somit nicht in der Lage war, seine Interessen zu wahren. Das Strafurteil konnte auch aus diesem Grunde keinen Rechtstitel bilden, der die administrative Löschung des Eintrages der Legitimation in den Zivilstandsregistern erlaubt hätte.</w:t>
      </w:r>
    </w:p>
    <w:p>
      <w:r>
        <w:rPr>
          <w:b/>
        </w:rPr>
        <w:t>E. 3</w:t>
      </w:r>
    </w:p>
    <w:p>
      <w:r>
        <w:t>Die Löschung erweist sich aber auch noch aus einem andern Grunde als unhaltbar. Auch wenn die Ehelicherklärung BGE 101 Ib 9 S. 13 eines Kindes voraussetzt, dass der Ehemann der Vater dieses Kindes ist, so ist damit noch keineswegs gesagt, dass eine Legitimation nichtig ist und in den Zivilstandsregistern gelöscht werden kann, sobald die Tatsache der Nichtabstammung feststeht. Nach der herrschenden Lehre und der Rechtsprechung bildet dieser Umstand vielmehr keinen Nichtigkeits-, sondern, gestützt auf Art. 262 ZGB , lediglich einen Anfechtungsgrund ( BGE 86 II 449 f. E. 4, wo die missverständlichen Ausführungen in BGE 40 II 298 E. 2 klargestellt werden; HEGNAUER, N. 3 ff. und 7 zu Art. 262 ZGB sowie N. 13 zu Art. 258/259 ZGB, mit Zitaten; EGGER, N. 5 zu Art. 258 ZGB in fine). Es wäre in der Tat nicht verständlich, welchen Sinn die gesetzliche Begrenzung der Möglichkeit zur Anfechtung der Ehelicherklärung auf drei Monate von deren Kenntnisnahme an hätte ( Art. 262 Abs. 1 ZGB ), wenn auch nach Ablauf dieser Frist die zuständige Behörde des Heimatkantons des Ehemannes oder eine andere Amtsstelle die Löschung des Legitimationseintrages im Zivilstandsregister erwirken könnte (SJZ 46. Jahrg., 1950, S. 207/208). Das Gesetz hat mit der Befristung der Anfechtungsklage den Grundsatz der Registerwahrheit jenem der Rechtssicherheit sowie dem Interesse des Kindes an der Aufrechterhaltung seines ehelichen Standes untergeordnet. Damit wird in Kauf genommen, dass eine materiell zu Unrecht vorgenommene Ehelicherklärung nach unbenütztem Ablauf der Anfechtungsfrist weiterhin rechtswirksam bleibt, auch wenn deren Vornahme von der Rechtsordnung missbilligt wird und sogar zur Bestrafung Anlass geben kann. Diese unterschiedliche Behandlung der Folgen einer zu Unrecht erfolgten Legitimation ist vom Gesetzgeber gewollt. Die Eintragung einer solchen Legitimation in den Zivilstandsregistern darf daher nicht unter Berufung auf einen (in dieser Allgemeinheit gar nicht bestehenden) Grundsatz der Unteilbarkeit der Rechtsordnung gelöscht werden. Das Justizdepartement des Kantons Basel-Stadt beruft sich zur Rechtfertigung der Löschung des Legitimationseintrages auch auf Art. 9 ZGB . Diese Bestimmung enthält indessen lediglich eine Beweisregel und gibt keine Antwort auf die Frage, ob und unter welchen Voraussetzungen die Berichtigung von öffentlichen Registern möglich ist (KUMMER, N. 70 zu Art. 9 ZGB ). Im übrigen verlangt gerade der in Art. 9 ZGB BGE 101 Ib 9 S. 14 enthaltene Grundsatz der verstärkten Beweiskraft öffentlicher Register, dass deren Einträge nicht leichthin ohne richterlichen Entscheid gelöscht werden können (vgl. FORNI a.a.O. S. 187). Auch die Kreisschreiben E 4 und G 7 der Kreisschreibensammlung des Eidgenössischen Justiz- und Polizeidepartementes über das Zivilstandswesen sind nicht geeignet, zu einer abweichenden Beurteilung der Rechtslage zu führen. Soweit sie die Löschung eines Legitimationseintrages durch Verfügung der Aufsichtsbehörde auf Grund eines Strafurteils als zulässig erklären, sind sie mit der gesetzlichen Ordnung nicht vereinbar und daher unbeachtlich.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