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351 vom 1. Januar 2021</w:t>
      </w:r>
    </w:p>
    <w:p>
      <w:r>
        <w:t>Bundesgericht (BGE), 2021-01-01, FR</w:t>
      </w:r>
    </w:p>
    <w:p>
      <w:r>
        <w:rPr>
          <w:b/>
        </w:rPr>
        <w:t xml:space="preserve">Quelle: </w:t>
      </w:r>
      <w:r>
        <w:t>https://mcp.opencaselaw.ch/entscheid/bge_BGE_101_IB_351</w:t>
      </w:r>
    </w:p>
    <w:p>
      <w:r>
        <w:t>FR: BGE BGE 101 IB 351 du 1 janvier 2021</w:t>
      </w:r>
    </w:p>
    <w:p>
      <w:r>
        <w:t>IT: BGE BGE 101 IB 351 del 1 gennaio 2021</w:t>
      </w:r>
    </w:p>
    <w:p>
      <w:pPr>
        <w:pStyle w:val="Heading2"/>
      </w:pPr>
      <w:r>
        <w:t>Regeste</w:t>
      </w:r>
    </w:p>
    <w:p>
      <w:r>
        <w:t>Regeste Art. 35 VwG, Art. 103 lit. b OG: In Strafvollzugssachen ist das eidg. Justiz- und Polizeidepartement berechtigt, wegen ungenügender Begründung des kantonalen Entscheides beim Bundesgericht Verwaltungsgerichtsbeschwerde zu führen.</w:t>
      </w:r>
    </w:p>
    <w:p>
      <w:r>
        <w:t>Regeste Art. 35 LPA, art. 103 lit. b OJ: En matière d'exécution des peines, le Département fédéral de justice et police a la qualité pour recourir au Tribunal fédéral pour insuffisance de motivation des décisions cantonales.</w:t>
      </w:r>
    </w:p>
    <w:p>
      <w:r>
        <w:t>Regesto Art. 35 PA, art. 103 lett. b OG: In materia di esecuzione penale il Dipartimento federale di giustizia e polizia è legittimato a ricorrere al Tribunale federale per difetto di motivazione delle decisioni cantonali.</w:t>
      </w:r>
    </w:p>
    <w:p>
      <w:pPr>
        <w:pStyle w:val="Heading2"/>
      </w:pPr>
      <w:r>
        <w:t>Erwägungen</w:t>
      </w:r>
    </w:p>
    <w:p>
      <w:r>
        <w:rPr>
          <w:b/>
        </w:rPr>
        <w:t>E. 1</w:t>
      </w:r>
    </w:p>
    <w:p>
      <w:r>
        <w:t>On peut hésiter sur la légitimation du Département fédéral à recourir. En effet, dans la mesure où le grief tiré de BGE 101 Ib 351 S. 352 l'insuffisance de la motivation d'une décision serait fondé sur la violation des droits garantis par l' art. 4 Cst. en matière de procédure, on devrait admettre qu'il appartient avant tout à l'intéressé d'assurer la sauvegarde de ses intérêts. En l'occurrence toutefois, le devoir de motiver découle au premier chef (cf. ATF 101 Ib 250 ) de l' art. 35 LPA , applicable en vertu des art. 247 al. 3 PPF et 1er al. 3 LPA. Cette disposition ne protège d'ailleurs pas seulement le droit d'être entendu, mais encore, s'agissant de l'exécution des peines, elle est destinée à permettre au Conseil fédéral d'exercer une haute surveillance (cf. art. 102 ch. 2 Cst. , 392 CP et 247 al. 3 PPF) par l'intermédiaire du Département fédéral de justice et police et, jusqu'à l'entrée en vigueur au 1er octobre 1969 de la modification de l'OJ du 20 décembre 1968, d'intervenir comme autorité de recours, d'office ou sur plainte (RPS 70/1955, p. 329 ss). Que depuis 1969 la compétence de statuer sur recours ait passé au Tribunal fédéral laisse subsister le devoir de surveillance de l'autorité exécutive de la Confédération, qui reçoit comme par le passé communication de toutes les décisions prises en matière d'exécution des peines et qui doit continuer à assurer l'application uniforme du droit fédéral par les organes étrangers à l'administration fédérale (cf. GRISEL, Droit administratif suisse, p. 505 ch. 3 lit. b). Or l'accomplissement de cette tâche n'est possible que si les décisions des autorités cantonales sont suffisamment motivées; c'est pourquoi l'art. 103 lit. b OJ ne fixe aucune limitation au droit du Département fédéral compétent à former un recours de droit administratif. A ces considérations qui suffisent à fonder la légitimation du recourant, il faut ajouter, dans le cas particulier, celles que suggère la condition même du détenu qui, par définition, est limité dans sa faculté de se défendre contre l'emprise de l'administration. Il se justifierait pour ce motif déjà de le faire bénéficier dans la mesure la plus large possible de la protection que lui garantit la haute surveillance de l'autorité fédérale. Le Tribunal fédéral est d'ailleurs déjà entré en matière sur des recours de même nature formés par le Département fédéral de justice et police.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