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172 vom 1. Januar 1975</w:t>
      </w:r>
    </w:p>
    <w:p>
      <w:r>
        <w:t>Bundesgericht (BGE), 1975-01-01, DE</w:t>
      </w:r>
    </w:p>
    <w:p>
      <w:r>
        <w:rPr>
          <w:b/>
        </w:rPr>
        <w:t xml:space="preserve">Quelle: </w:t>
      </w:r>
      <w:r>
        <w:t>https://mcp.opencaselaw.ch/entscheid/bge_BGE_101_IA_172</w:t>
      </w:r>
    </w:p>
    <w:p>
      <w:r>
        <w:t>FR: BGE BGE 101 IA 172 du 1 janvier 1975</w:t>
      </w:r>
    </w:p>
    <w:p>
      <w:r>
        <w:t>IT: BGE BGE 101 IA 172 del 1 gennaio 1975</w:t>
      </w:r>
    </w:p>
    <w:p>
      <w:pPr>
        <w:pStyle w:val="Heading2"/>
      </w:pPr>
      <w:r>
        <w:t>Regeste</w:t>
      </w:r>
    </w:p>
    <w:p>
      <w:r>
        <w:t>Regeste Art. 4 BV und Meinungsäusserungsfreiheit; Entzug der Wahlfähigkeit eines Lehrers. 1. Verhältnis von strafrechtlicher Verurteilung und besonderer Verwaltungsmassnahme (E. 2). 2. Überprüfungsbefugnis des Bundesgerichts bei disziplinarischen Massnahmen gegenüber kantonalen Beamten (E. 3). 3. Eine strafrechtliche Verurteilung kann die Funktion einer verwaltungsinternen Verwarnung erfüllen (E. 4). 4. Verhältnismässigkeit der disziplinarischen Massnahme (E. 5). 5. Strafrechtliche Schranken der Meinungsäusserungsfreiheit (E. 6).</w:t>
      </w:r>
    </w:p>
    <w:p>
      <w:r>
        <w:t>Regeste Art. 4 Cst. et liberté d'expression; retrait du droit d'éligibilité en tant qu'enseignant. 1. Rapport entre condamnation pénale et mesure administrative particulière (consid. 2). 2. Pouvoir d'examen du Tribunal fédéral en cas de mesures disciplinaires prononcées contre des fonctionnaires cantonaux (consid. 3). 3. Une condamnation pénale peut tenir lieu d'un avertissement au plan administratif (consid. 4). 4. Proportionnalité des mesures disciplinaires (consid. 5). 5. Dispositions de droit pénal en tant que limites mises à la liberté d'expression (consid. 6).</w:t>
      </w:r>
    </w:p>
    <w:p>
      <w:r>
        <w:t>Regesto Art. 4 Cost. e libertà d'espressione; revoca dell'eleggibilità quale insegnante. 1. Relazione tra condanna penale e misura amministrativa speciale. 2. Cognizione del Tribunale federale in caso di misure disciplinari nei confronti di funzionari cantonali (consid. 3). 3. Una condanna penale può adempiere la funzione di un'ammonizione inflitta sul piano amministrativo (consid. 4). 4. Proporzionalità delle misure disciplinari (consid. 5). 5. Disposizioni del diritto penale quali limiti della libertà d'espressione (consid. 6).</w:t>
      </w:r>
    </w:p>
    <w:p>
      <w:pPr>
        <w:pStyle w:val="Heading2"/>
      </w:pPr>
      <w:r>
        <w:t>Erwägungen</w:t>
      </w:r>
    </w:p>
    <w:p>
      <w:r>
        <w:rPr>
          <w:b/>
        </w:rPr>
        <w:t>E. 1</w:t>
      </w:r>
    </w:p>
    <w:p>
      <w:r>
        <w:t>Der Beschwerdeführer beruft sich auf das Willkürverbot und auf die verfassungsmässig geschützte Meinungsäusserungsfreiheit; diese ist vom Bundesgericht als ungeschriebenes Verfassungsrecht des Bundes anerkannt ( BGE 97 I 896 Erw. 4). Der Beschwerdeführer macht nicht geltend, dass Art. 18 der aargauischen Kantonsverfassung die Meinungsäusserungsfreiheit umfassender schützt als das ungeschriebene Verfassungsrecht des Bundes. Zu prüfen ist deshalb ausschliesslich, ob der Entscheid des Verwaltungsgerichtes die Bundesverfassung verletzt.</w:t>
      </w:r>
    </w:p>
    <w:p>
      <w:r>
        <w:rPr>
          <w:b/>
        </w:rPr>
        <w:t>E. 2</w:t>
      </w:r>
    </w:p>
    <w:p>
      <w:r>
        <w:t>Wenn ein Lehrer zu einer Freiheitsstrafe verurteilt wird, kann er nach § 53 Abs. 1 des aargauischen Schulgesetzes (SchulG) "je nach den Umständen" vom Erziehungsrat ins Provisorium versetzt oder im Amte eingestellt werden oder vom Regierungsrat entlassen werden. Das Verwaltungsgericht hat mit Recht angenommen, dass bei Vorliegen der Voraussetzungen für die Entlassung eines Lehrers auch dessen Wahlfähigkeitsausweis BGE 101 Ia 172 S. 175 entzogen werden kann. Das gilt auch, wenn - wie hier - der Lehrer seiner drohenden Entlassung mit einem Austritt zuvorkommt. Der Entzug des Ausweises ist in diesem Falle keine eigentliche Disziplinarmassnahme, sondern vielmehr der Widerruf eines Verwaltungsaktes. Dieser ist hier zulässig, da die Wahlfähigkeit unter bestimmten Bedingungen - insbesondere gesetzeskonformes Verhalten des Lehrers - zuerkannt wird; sie kann bei Wegfall einer wesentlichen Bedingung durchaus wieder aberkannt werden. Die gesetzmässige Grundlage für die angefochtene Massnahme ist in den §§ 53 und 54 SchulG jedenfalls gegeben. Der Beschwerdeführer bestreitet das auch gar nicht. Er bezweifelt jedoch, ob in seinem Falle neben der strafrechtlichen Verurteilung noch eine besondere Verwaltungsmassnahme zulässig sei. Die Bundesverfassung schliesst nicht aus, dass eine Tat neben der Bestrafung durch die Strafgerichte auch eine administrative Sanktion nach sich zieht, sofern Straf- und Verwaltungsmassnahme verschiedene Zwecke verfolgen (GRISEL, Droit administratif suisse, S. 335). Der Umstand, dass der Strafrichter die Nebenstrafe der Amtsunfähigkeit nach Art. 51 StGB nicht ausgesprochen hat, hindert den Regierungsrat nicht, gestützt auf das kantonale Schulrecht das Wahlfähigkeitszeugnis zu entziehen, wenn er mit hinreichendem Grund annehmen muss, der Lehrer sei im Kanton nicht mehr tragbar. Die Bestrafung des Beschwerdeführers und der Entzug des Wahlfähigkeitszeugnisses stehen zueinander in einem ähnlichen Verhältnis wie die Bestrafung eines Motorfahrzeughalters und der Entzug des Führerausweises. Die Massnahme mag den Betroffenen schwerer treffen als die Strafe. Sie ist aber trotzdem zulässig, weil damit gerechnet werden muss, dass durch die Strafe und gegebenenfalls durch die Strafverbüssung allein der verwaltungskonforme Zustand nicht wieder hergestellt ist. Im Falle des Beschwerdeführers hatte der Strafrichter nicht zu beurteilen, ob dieser noch weiter als Lehrer tätig sein könne. Der Regierungsrat war deshalb berechtigt und verpflichtet, zu prüfen, ob der Beschwerdeführer nach seiner zweifachen Verurteilung für die öffentliche Schule untragbar geworden war. Das kann nach dem klaren Text des § 53 SchulG nicht nur der Fall sein, wenn ein Lehrer seine Berufspflichten gröblich verletzt, sondern auch, wenn er eine Freiheitsstrafe erlitten hat. Der zweite Fall steht neben BGE 101 Ia 172 S. 176 dem ersten; das Delikt muss sich also nicht auf die Berufspflichten beziehen. § 53 Abs. 1 SchulG enthält also keine unzulässige Strafkumulierung (vgl. dazu GIACOMETTI, Allgemeine Lehren des Verwaltungsrechts, S. 559). Freilich darf und soll die an zweiter Stelle verfügende Instanz - hier der Regierungsrat - im Rahmen ihres Ermessens die bereits vom Strafrichter ausgesprochene Strafsanktion mitberücksichtigen. Dies schliesst aber nicht aus, allenfalls im öffentlichen Interesse die schärfste vom Gesetz vorgesehene Verwaltungssanktion - hier den Entzug des Wahlfähigkeitszeugnisses - auszusprechen.</w:t>
      </w:r>
    </w:p>
    <w:p>
      <w:r>
        <w:rPr>
          <w:b/>
        </w:rPr>
        <w:t>E. 3</w:t>
      </w:r>
    </w:p>
    <w:p>
      <w:r>
        <w:t>Disziplinarmassnahmen und diesen gleichzustellende Verwaltungsmassnahmen müssen dem Grundsatz der Verhältnismässigkeit entsprechen ( BGE 100 Ia 360 E. 3b). Dieser besagt allgemein, dass das gewählte Mittel durch das vom Gesetzgeber angestrebte Ziel gedeckt sein muss. Kann das Ziel mit einem weniger in die Freiheit einschneidenden Mittel ebensogut erreicht werden, so hat der Bürger Anspruch auf die Wahl des milderen Mittels. Dabei muss ein angemessenes Verhältnis zwischen dem zu erstrebenden Ziel und der dafür gebotenen Freiheitsbeschränkung bestehen ( BGE 96 I 242 E. 5 BGE 97 I 508 ). Den kantonalen Behörden steht aufgrund von § 53 SchulG bei der Wahl der Massnahmen ein gewisser Spielraum des Ermessens offen, indem auf die konkreten Umstände des Falles - etwa das Verhältnis zwischen Lehrer, Schüler, Eltern und Aufsichtsbehörden - verwiesen wird. Das Bundesgericht kann also nur eingreifen, wenn die kantonalen Behörden diesen Spielraum überschritten haben. Bei Massnahmen, die gegenüber kantonalen Beamten ergriffen werden, übt das Bundesgericht diese Zurückhaltung selbst dann, wenn wie hier gleichzeitig eine Verletzung der Meinungsäusserungsfreiheit gerügt wird, denn die kantonalen Behörden tragen die Verantwortung für eine einwandfreie Arbeit des öffentlichen Dienstes, und die gute Wahl und Überwachung der ausführenden Beamten ist das beste Mittel hiezu; dies gilt grundsätzlich auch für Lehrer (nicht veröffentlichtes Urteil vom 7. März 1973 i.S. Giordano, E. 4b und c). Eine freie Prüfung der kantonalen Disziplinarentscheide fällt im vorliegenden Fall schon deswegen ausser Betracht, weil der Beamte hier keinen Anspruch darauf hat, im Staatsdienst zu bleiben. Anderseits BGE 101 Ia 172 S. 177 darf sich im vorliegenden Fall die Kognition auch nicht auf blosse Willkür beschränken, da die angefochtene Massnahme den Beschwerdeführer in seiner Freiheit trifft, weiterhin auf seinem erlernten Beruf zu arbeiten; die vom Kanton Aargau ausgesprochene Massnahme dürfte sich ja auch auf die Anstellungsmöglichkeiten des Beschwerdeführers in anderen Kantonen auswirken, Im ähnlichen Falle BGE 98 Ia 471 liess sich die blosse Willkürprüfung nur verantworten, weil dem entlassenen Lehrer noch die Wählbarkeit in einer anderen Gemeinde des Kantons blieb. Ob mit der angefochtenen Massnahme der Grundsatz der Verhältnismässigkeit eingehalten worden ist, prüft das Bundesgericht also lediglich mit einer gewissen Zurückhaltung.</w:t>
      </w:r>
    </w:p>
    <w:p>
      <w:r>
        <w:rPr>
          <w:b/>
        </w:rPr>
        <w:t>E. 4</w:t>
      </w:r>
    </w:p>
    <w:p>
      <w:r>
        <w:t>Der Beschwerdeführer unterstreicht zuvor zwei Umstände, die seines Erachtens von vornherein zur Aufhebung des angefochtenen Entscheides führen müssen: Einmal ist er seit der Verwarnung durch den Erziehungsrat zwar nochmals verurteilt worden, aber seine zweite Straftat lag vor dieser Verwarnung. Die erste Verurteilung hat ihm offenbar keinen Eindruck gemacht, doch rügt er, es sei nicht dargetan, dass auch die Verwarnung des Erziehungsrates ihm keinen Eindruck gemacht hätte. Zudem habe sich das Verwaltungsgericht mit den Berichten der Schulpflege von Schafisheim und des Schulinspektors sowie mit den Feststellungen der übrigen Lehrer an der gleichen Schule nicht auseinandergesetzt. Nach diesen Berichten kann dem Beschwerdeführer in der Tat nicht vorgeworfen werden, er habe in der Schule seine Schüler in einer Weise beeinflusst, die seiner persönlichen Einstellung zur Armee entspricht, die aber mit dem Schulunterricht an einer politisch neutralen Staatsschule nicht vereinbar wäre. Das Verwaltungsgericht hat jedoch die beiden Umstände nicht übersehen, weshalb ihm keine aktenwidrige Annahme vorgeworfen werden kann: Es nahm an, nach den bei den Akten liegenden Zeugnissen habe "bis jetzt noch keine Beeinflussung der Schüler festgestellt werden können"; doch müsse aus der schriftlichen Stellungnahme des Beschwerdeführers gegenüber dem Erziehungsrat vom 14. Dezember 1971 geschlossen werden, dass er durchaus den Willen habe, seinen Schülern ein Stück seines Gesellschaftsbildes mitzugeben. Die von ihm verübten Straftaten seien geeignet, stark auf die Schüler zu wirken, "insbesondere dann, wenn sie im beliebten BGE 101 Ia 172 S. 178 Lehrer den Märtyrer erblickten, der für seine Idee auch Gefängnisstrafe auf sich nehme". Mit der Vermutung, dass das Bekanntwerden der Verurteilung des Beschwerdeführers auf Schüler stark wirken könnte, hat das Verwaltungsgericht den ihm zustehenden Ermessensspielraum jedenfalls nicht überschritten. Das Verwaltungsgericht nahm ferner an, die erste Verurteilung sei eine genügende Verwarnung gewesen. Dem Beschwerdeführer habe deshalb die Wahlfähigkeitsberechtigung entzogen werden können, auch wenn die erste Verwarnung durch die Erziehungsdirektion erst der zweiten Straftat folgte. Die erste Verurteilung durch das Strafgericht konnte durchaus die Funktion erfüllen, die in andern Fällen der verwaltungsinternen Verwarnung zukommt. Ob im Antrag des Erziehungsrates an den Regierungsrat diesbezüglich ein Fehler unterlaufen ist, ist unerheblich. Das Verwaltungsgericht hat diesen Punkt auf S. 19 seines Entscheides richtiggestellt. Es hat keine rechtlich erheblichen Tatsachen übersehen, sondern sie lediglich anders gewürdigt als der Beschwerdeführer. Dieser hält es für "völlig wirklichkeitsfremd", einer gerichtlichen Verurteilung eine ähnliche Warnwirkung zuzuschreiben wie einer Verwarnung durch die Erziehungsdirektion, da er das Urteil des Bezirksgerichtes eben als Fehlurteil betrachtet habe, Der Beschwerdeführer musste sich aber bei seiner zweiten Straftat doch bereits Rechenschaft geben, dass seine erneute vorsätzliche Verletzung des Strafgesetzbuches Rückwirkungen auf seine Stellung als Lehrer haben könnte, auch wenn die Schulbehörden das erste Disziplinarverfahren noch nicht abgeschlossen hatten. Wenn der Beschwerdeführer im Sinne eines "kalkulierten Risikos" glaubte, er habe höchstens mit einer Gefängnisstrafe und nicht mit zusätzlichen Verwaltungsmassnahmen zu rechnen, muss er die Folgen seiner "Fehlkalkulation" tragen. Die diesbezüglichen Ausführungen des Verwaltungsgerichtes über den Sachverhalt sind unter dem beschränkten Blickwinkel, der dem Bundesgericht hier zusteht, nicht zu beanstanden; für die Würdigung der Verhältnismässigkeit ist also vom Tatbestand auszugehen, den das Verwaltungsgericht seinem Urteil zugrunde gelegt hat.</w:t>
      </w:r>
    </w:p>
    <w:p>
      <w:r>
        <w:rPr>
          <w:b/>
        </w:rPr>
        <w:t>E. 5</w:t>
      </w:r>
    </w:p>
    <w:p>
      <w:r>
        <w:t>Die Verhältnismässigkeit der vom Regierungsrat getroffenen Massnahme kann vom Bundesgericht auch dann bejaht werden, wenn es nicht alle Erwägungen des kantonalen BGE 101 Ia 172 S. 179 Verwaltungsgerichtes gleich gewichtet wie dieses. Massgebend ist nur, ob Regierungsrat und Verwaltungsgericht ohne Verfassungsverletzung dem Beschwerdeführer das Wahlfähigkeitszeugnis auch dann entziehen konnten, wenn man annimmt, es sei bis zum Sommer 1971 - als die vom Beschwerdeführer angeführten positiven Meinungsäusserungen abgegeben wurden - kein nachteiliger Einfluss seines Verhaltens auf sein Wirken in der Schule zu verspüren gewesen. Trotz dieser Zeugnisse aus dem Jahre 1971 bleibt die Frage offen, wie sich die Spätere Verurteilung zu einer unbedingten Gefängnisstrafe (letztinstanzlich am 14. Dezember 1973) auf den Schulbetrieb ausgewirkt hätte, wenn der Beschwerdeführer im Schuldienst geblieben wäre oder wenn er wieder in den Schulbetrieb eintreten könnte. Dabei zeigen auf jeden Fall die Petitionen der Lehrer für und gegen den Entzug des Wahlfähigkeitszeugnisses, dass sein Fall im ganzen Kanton bekannt geworden ist. Die entscheidende Frage für den Regierungsrat musste sein, ob den Eltern zugemutet werden kann, ihre Kinder zu einem Lehrer in die Schule zu schicken, der bewusst unmittelbar nach der Verurteilung zu einer bedingten Gefängnisstrafe das gleiche, gegen den Staat gerichtete Delikt erneut begeht und sich so eine unbedingte Gefängnisstrafe zuzieht. Ein solcher Lehrer hat nicht bloss eine von der Mehrheit abweichende politische Auffassung vertreten, sondern er hat ein Strafurteil derart missachtet, dass er kaum tauglich scheint, den Schülern die Achtung vor der geltenden Rechtsordnung - inbegriffen deren anfechtbare Teile - zu vermitteln. Das gehört jedoch zu den unabdingbaren erzieherischen Aufgaben eines jeden Lehrers (vorgenanntes Urteil i.S. Giordano, E. 5c). Auch hohe pädagogische Fähigkeiten können diesen schweren Charaktermangel nicht aufwiegen. Ein solcher Lehrer kann bei Disziplinwidrigkeiten der Schüler seine Aufgabe kaum erfüllen, wenn die Schüler wissen, dass ihr Lehrer sich selbst durch eine strafgerichtliche Verurteilung in keiner Weise von der weiteren Begehung des gleichen vorsätzlichen Deliktes abhalten liess. Wer sich so verhält, verliert das Vertrauen der Eltern und die Autorität gegenüber den Schülern. Der Beschwerdeführer wusste bei seiner zweiten Straftat, wie sein Flugblatt vom zuständigen zivilen Strafgericht beurteilt worden war. Er, der selbst nicht dienstpflichtige Lehrer, forderte mit andern zusammen die Rekruten mit rhetorischer BGE 101 Ia 172 S. 180 Frage auf, gegenüber ihren militärischen Lehrern Widerstand zu leisten, weil sie in eine Schule einträten, die "eine totale Gleichmacherei, die Gleichschaltung anstrebe" und die "den Rekruten zum Herdentier macht". Man kann Vätern, die als Wehrmänner zur Landesverteidigung stehen, nicht zumuten, ihre Kinder zu einem Lehrer zu schicken, der unmittelbar nach der strafrechtlichen Verurteilung wegen dieser Äusserungen die ihm gewährte bedingte Verurteilung ausser Acht lässt und seine Anwürfe durch die erneute Verteilung von Flugblättern mit gleichem Inhalt bestätigt. Dies wäre eine Zumutung gegenüber den Eltern, auch wenn der Lehrer bisher keine entsprechende Aufforderung an seine eigenen Schüler in der Schule herangetragen hat. Die Verfassung schützt nicht nur die Freiheit der Bürger einschliesslich der Beamten und Lehrer, sie anerkennt auch die Freiheit der Regierungsorgane, jene Massnahmen durchzusetzen, die unerlässlich sind, um das Vertrauen in die Staatsschule aufrecht zu erhalten. Auch wenn man anerkennt, dass der Beschwerdeführer ein tüchtiger Lehrer war und ihn der Entzug des Wahlfähigkeitszeugnisses schwer trifft, kann deshalb die Verhältnismässigkeit der getroffenen Massnahme bejaht werden. Zumindest haben die kantonalen Behörden den ihnen zustehenden Ermessensspielraum nicht überschritten. Der Entzug ist im übrigen keineswegs endgültig, denn der Beschwerdeführer kann nach drei Jahren um eine Wiedererteilung des Wahlfähigkeitszeugnisses ersuchen, "wenn genügende Gewähr vorliegt, dass die Gründe, die zur Entlassung geführt haben, nicht mehr vorhanden sind" (§ 54 Abs. 1 Satz 2 SchulG).</w:t>
      </w:r>
    </w:p>
    <w:p>
      <w:r>
        <w:rPr>
          <w:b/>
        </w:rPr>
        <w:t>E. 6</w:t>
      </w:r>
    </w:p>
    <w:p>
      <w:r>
        <w:t>Zu Unrecht beruft sich der Beschwerdeführer auch auf eine Verletzung der Meinungsäusserungsfreiheit. Er bestreitet von vornherein, dass für die Lehrer irgendeine Treuepflicht gegenüber dem Staate bestehe. Der Lehrer ist jedoch Beamter. Das Wort "Treuepflicht" umfasst gerade die Gesamtheit der Pflichten, die dem Beamten innerhalb und ausserhalb seiner amtlichen Tätigkeit obliegen. § 9 des geltenden aargauischen Besoldungsdekretes vom 24. November 1971, das die Rechtsstellung der aargauischen Beamten im allgemeinen umschreibt, übernimmt dabei den Satz von Art. 22 des Beamtengesetzes des Bundes: "Die Beamten haben alles zu tun, was die Interessen des Staates fordern und alles zu unterlassen, was sie beeinträchtigt". BGE 101 Ia 172 S. 181 Dieser sehr allgemein gefasste Satz bedarf freilich der verfassungskonformen Auslegung. Grundsätzlich verfügt auch der Beamte über die verfassungsmässigen Rechte. Er darf Sich politisch betätigen und sich öffentlich und privat an der politischen Kritik beteiligen (A. GRISEL, Droit administratif suisse, 249; O. K. KAUFMANN, Grundzüge des schweizerischen Beamtenrechts, ZBl 73/1972, 386). Der Beamte hat sich jedoch an die Beschränkungen zu halten, die seine besondere Stellung mit sich bringt. In jedem Falle hat er sich zumindest aller ungesetzlichen Mittel zu enthalten und darf auch nicht zu deren Gebrauch ermuntern (GRISEL, a.a.O., S. 250). Daran hat sich der Beschwerdeführer nicht gehalten. Anlass zum Entzug seines Wahlfähigkeitszeugnisses waren nicht seine persönlichen Meinungsäusserungen oder sein öffentliches Bekenntnis als Kriegsdienstgegner, sondern die beiden strafrechtlichen Verurteilungen. Dass diese Ausfluss seiner politischen Überzeugung waren, ändert nichts, da politische und Glaubensansichten nicht von der Erfüllung bürgerlicher Pflichten entbinden (vgl. Art. 49 Abs. 5 BV ); hiezu gehört auch die Einhaltung der vom Strafrecht gesetzten Grenzen der Meinungsäusserungsfreiheit. Deshalb steht vorliegend keinesfalls "das Recht auf freie Meinungsäusserung der gesamten Lehrerschaft auf dem Spiel", wie der Beschwerdeführer etwas grosstuerisch behauptet. Zu Unrecht glauben auch die Unterzeichner der Petition an den Erziehungs- und Regierungsrat, der Entscheid des letzteren "käme einem Angriff auf die demokratischen Rechte der Lehrer gleich". Dies trifft nicht zu. Die demokratischen Rechte der Lehrer verdienen vollen Schutz, aber es gibt kein "demokratisches Recht", Seiner politischen Überzeugung durch wiederholte strafbare Handlung Ausdruck zu geben. Wer glaubt, durch wiederholte schwere Verletzung der Rechtsordnung für seine Überzeugung kämpfen zu müssen, ist vielmehr, wie Regierungsrat und Verwaltungsgericht ohne Überschreitung ihres Ermessensspielraumes festgestellt haben, als Lehrer nicht mehr tragbar und kann sich nicht auf die Meinungsäusserungsfreiheit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