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83</w:t>
      </w:r>
    </w:p>
    <w:p>
      <w:r>
        <w:t>Bundesgericht (BGE), 1974-08-26, DE</w:t>
      </w:r>
    </w:p>
    <w:p>
      <w:r>
        <w:rPr>
          <w:b/>
        </w:rPr>
        <w:t xml:space="preserve">Quelle: </w:t>
      </w:r>
      <w:r>
        <w:t>https://mcp.opencaselaw.ch/entscheid/bge_BGE_100_V_83</w:t>
      </w:r>
    </w:p>
    <w:p>
      <w:r>
        <w:t>FR: ATF 100 V 83</w:t>
      </w:r>
    </w:p>
    <w:p>
      <w:r>
        <w:t>IT: DTF 100 V 83</w:t>
      </w:r>
    </w:p>
    <w:p>
      <w:pPr>
        <w:pStyle w:val="Heading2"/>
      </w:pPr>
      <w:r>
        <w:t>Regeste</w:t>
      </w:r>
    </w:p>
    <w:p>
      <w:r>
        <w:t>Regeste Zusammenfallen von Renten der In validenversicherung mit solchen der obligatorischen Unfallversicherung oder Militärversicherung (Art. 45 Abs. 1 IVG und Art. 39bis Abs. 4 IVV). Kürzungsverfahren, wenn die Ehefrau nach Art. 33 Abs. 3 IVG Anspruch auf die halbe Ehepaarrente hat.</w:t>
      </w:r>
    </w:p>
    <w:p>
      <w:r>
        <w:t>Regeste Cumul des rentes de l'assurance-invalidité et de l'assurance obligatoire en cas d'accidents ou de l'assurance militaire (art. 45 al. 1 LAI et art. 39bis al. 4 RAI). Modalités de la réduction si l'épouse a droit, selon l'art. 33 al. 3 LAI, à la moitié de la rente pour couple.</w:t>
      </w:r>
    </w:p>
    <w:p>
      <w:r>
        <w:t>Regesto Cumulo di rendite dell'assicurazione per l'invalidità e dell'assicurazione obbligatoria contro gli infortuni o dell'assicurazione militare (art. 45 cpv. 1 LAI e art. 39bis cpv. 4 OAI). Modalità della riduzione se la moglie ha diritto, giusta l'art. 33 cpv. 3 LAI, alla metà della rendita per coniugi.</w:t>
      </w:r>
    </w:p>
    <w:p>
      <w:pPr>
        <w:pStyle w:val="Heading2"/>
      </w:pPr>
      <w:r>
        <w:t>Erwägungen</w:t>
      </w:r>
    </w:p>
    <w:p>
      <w:r>
        <w:rPr>
          <w:b/>
        </w:rPr>
        <w:t>E. 1</w:t>
      </w:r>
    </w:p>
    <w:p>
      <w:r>
        <w:t>Nach Art. 45 Abs. 1 IVG werden die Renten der obligatorischen Unfallversicherung und der Militärversicherung gekürzt, soweit sie zusammen mit der Rente der Invalidenversicherung den entgangenen mutmasslichen Jahresverdienst übersteigen. Gestützt auf eine am 1. Januar 1968 in Kraft getretene Ermächtigungsnorm ( Art. 45 Abs. 3 IVG ) hat der Bundesrat in Art. 39bis IVV hiezu Ausführungsvorschriften erlassen. Gemäss Abs. 4 dieser Bestimmung ist bei Ablösung der einfachen Invalidenrente durch eine Ehepaar-Invalidenrente lediglich jenes Rentenbetreffnis anzurechnen, "das zu diesem Zeitpunkt der Ehepaar-Invalidenrente zuzüglich allfälliger Zusatzrenten, berechnet allein aus den Beiträgen des Versicherten, entsprochen hätte". Keine ausdrückliche Regelung findet sich hinsichtlich der im vorliegenden Fall zu beurteilenden Rechtsfrage, ob eine nach Art. 33 Abs. 3 IVG aufgeteilte Ehepaar-Invalidenrente auch bezüglich der der Ehefrau ausgerichteten Rentenhälfte in die Kürzung einzubeziehen sei. Die Frage erhebt sich in gleicher Weise auch bezüglich der Altersrenten (vgl. Art. 22 Abs. 2 AHVG und Art. 48 AHVG in Verbindung mit Art. 66quater AHVV ).</w:t>
      </w:r>
    </w:p>
    <w:p>
      <w:r>
        <w:rPr>
          <w:b/>
        </w:rPr>
        <w:t>E. 2</w:t>
      </w:r>
    </w:p>
    <w:p>
      <w:r>
        <w:t>Anlässlich der auf den 1. Januar 1973 erfolgten Einführung des uneingeschränkten Teilungsanspruches der Ehefrau gemäss Art. 22 Abs. 2 AHVG und Art. 33 Abs. 3 IVG wurden auch die Auswirkungen dieser Änderung auf die Kürzungsbestimmungen der Art. 48 AHVG und 45 IVG in Betracht gezogen. In der Botschaft des Bundesrates zur 8. AHV-Revision heisst es hiezu, die Neuregelung habe "voraussichtlich auch Auswirkungen auf... die Kürzung der Renten der obligatorischen Betriebsunfallversicherung oder der Militärversicherung. Im Hinblick auf den virtuellen Anspruch der Ehefrau auf die halbe Rente, den sie nach freiem Belieben geltend machen kann, stellt sich die Frage, ob bei der Berechnung des für die Rentenkürzung massgebenden Betrages die ganze Ehepaarrente angerechnet werden darf. Nötigenfalls ist BGE 100 V 83 S. 86 in den Vollzugsbestimmungen eine Regelung zu treffen, wofür der Bundesrat gemäss Art. 48 Abs. 3 AHVG und Art.. 45 Abs. 3 IVG die Befugnis besitzt" (BBl 1971 II S. 1091). Wie das Bundesamt für Sozialversicherung in einer Stellungnahme zuhanden der MV vom 19. Oktober 1973 ausführt, wurde in der Folge gemäss einem Beschluss der Eidgenössischen AHV/IV-Kommission auf eine Änderung der Kürzungsbestimmungen verzichtet in der Meinung, eine Nichtanrechnung der von der Ehefrau beanspruchten halben Ehepaarrente würde zu stossenden Überversicherungen führen und sei auch deshalb nicht gerechtfertigt, weil der Ehemann im Umfange der an die Ehefrau ausbezahlten Rente von seiner Unterhaltspflicht befreit werde. Damit erweist sich der vom Beschwerdeführer erhobene Einwand, die Anpassung der Bestimmung von Art. 39bis IVV sei versehentlich unterlassen worden, als unbegründet. Der Beschwerdeführer kann sich umso weniger auf die Ausführungen in der Botschaft vom 11. Oktober 1971 berufen, als die streitige Rechtsfrage dort lediglich erwähnt, nicht aber konkret beantwortet wird. Im übrigen ist darauf hinzuweisen, dass sich das Problem bereits unter der Herrschaft der altrechtlichen Bestimmung von Art. 33 Abs. 3 IVG stellte und durch die Gesetzesänderung lediglich im Geltungsbereich erweitert worden ist. Den Ausführungen in der bundesrätlichen Botschaft kommt daher auch aus diesem Grunde nur beschränkte Bedeutung zu.</w:t>
      </w:r>
    </w:p>
    <w:p>
      <w:r>
        <w:rPr>
          <w:b/>
        </w:rPr>
        <w:t>E. 3</w:t>
      </w:r>
    </w:p>
    <w:p>
      <w:r>
        <w:t>Das Rentensystem der AHV und IV folgt weitgehend der familienrechtlichen Konzeption des Zivilgesetzbuches und ist, was die versicherungsrechtliche Stellung Verheirateter anbetrifft, in besonderem Masse von der zivilrechtlichen Unterhaltspflicht des Ehemannes geprägt ( Art. 160 Abs. 2 ZGB ). Mit der Einführung des voraussetzungslosen Teilungsanspruches der Ehefrau bei Ehepaarrenten erfolgte zwar eine Änderung in Richtung einer Gleichstellung der Geschlechter. Danach kann die Ehefrau die Ehepaarrente, welche bisher grundsätzlich dem Ehemann zugestanden hat, zur Hälfte in eigenem Namen beanspruchen. Der Verfügungsanspruch eines jeden Rentenbezügers findet indessen eine Schranke in der allgemeinen Zweckbestimmung der Rentenleistungen, welche darin besteht, dem Versicherten bzw. dessen Hinterlassenen den Lebensunterhalt zu gewährleisten bei Wegfall des Erwerbseinkommens zufolge Alters, Todes oder Invalidität. Kraft ausdrücklicher Gesetzesvorschrift ( Art. 45 AHVG und Art. 76 BGE 100 V 83 S. 87 AHVV sowie Art. 50 IVG ) kann die Verfügungsbefugnis des Rentenberechtigten denn auch eingeschränkt werden, sofern dieser die Rente nicht für den Unterhalt seiner selbst und der Personen verwendet, für welche er zu sorgen hat. Zudem ist der Rentenanspruch nach Art. 20 AHVG und Art. 50 IVG unabtretbar, unverpfändbar und der Zwangsvollstreckung entzogen. Diese Bestimmungen gelten auch hinsichtlich des Anspruchs der Ehefrau auf die halbe Ehepaarrente, weshalb die Rente nur unter diesen Einschränkungen Sondergut der Ehefrau darstellt. Im übrigen ändert die getrennte Ausrichtung der Ehepaarrente grundsätzlich nichts an deren sozialer Zweckbestimmung, welche den allgemeineren zivilrechtlichen Regeln vorzugehen hat.</w:t>
      </w:r>
    </w:p>
    <w:p>
      <w:r>
        <w:rPr>
          <w:b/>
        </w:rPr>
        <w:t>E. 4</w:t>
      </w:r>
    </w:p>
    <w:p>
      <w:r>
        <w:t>Aus dem Gesagten ergibt sich, dass im Rentenkürzungsverfahren gemäss Art. 45 IVG ( Art. 48 AHVG ) - vorbehältlich Art. 39bis Abs. 4 IVV ( Art. 66quater Abs. 4 AHVV ) - stets die ganze Ehepaarrente anzurechnen ist. Wie die Vorinstanz mit Recht ausführt, lässt sich nur auf diese Weise eine Gleichbehandlung der Versicherten gewährleisten. Andernfalls würde die Rentenkürzung von der sachlich und rechtlich nicht zu begründenden Zufälligkeit abhängen, ob die Ehefrau ihren Teilungsanspruch nach Art. 33 Abs. 3 IVG bzw. Art. 22 Abs. 2 AHVG geltend macht oder nicht. Die streitige Verordnungsbestimmung ist daher auch unter dem Gesichtspunkt des auf den 1. Januar 1973 erweiterten Teilungsanspruches der Ehefrau nicht zu beanstanden.</w:t>
      </w:r>
    </w:p>
    <w:p>
      <w:r>
        <w:rPr>
          <w:b/>
        </w:rPr>
        <w:t>E. 5</w:t>
      </w:r>
    </w:p>
    <w:p>
      <w:r>
        <w:t>Hieran vermag auch der Hinweis des Beschwerdeführers auf den Wortlaut von Art. 45 IVG nichts zu ändern. Der Ehemann, dessen Frau die Teilung der Ehepaarrente beansprucht, bleibt zwar lediglich für die halbe Rente bezugsberechtigt. Beim Rentenanspruch der Ehefrau handelt es sich jedoch insofern lediglich um einen abgeleiteten Anspruch, als dieser vom Bestand des Grundanspruches abhängig bleibt. Es rechtfertigt sich daher, unter dem gesetzlichen Ausdruck des "Rentenberechtigten" gemäss Art. 45 IVG denjenigen Versicherten zu verstehen, bei welchem der Grundanspruch gegeben ist. Somit steht auch der Wortlaut von Art. 45 IVG einer Anrechnung der ganzen Ehepaarrente nicht entgegen.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