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197</w:t>
      </w:r>
    </w:p>
    <w:p>
      <w:r>
        <w:t>Bundesgericht (BGE), 1974-12-11, DE</w:t>
      </w:r>
    </w:p>
    <w:p>
      <w:r>
        <w:rPr>
          <w:b/>
        </w:rPr>
        <w:t xml:space="preserve">Quelle: </w:t>
      </w:r>
      <w:r>
        <w:t>https://mcp.opencaselaw.ch/entscheid/bge_BGE_100_V_197</w:t>
      </w:r>
    </w:p>
    <w:p>
      <w:r>
        <w:t>FR: ATF 100 V 197</w:t>
      </w:r>
    </w:p>
    <w:p>
      <w:r>
        <w:t>IT: DTF 100 V 197</w:t>
      </w:r>
    </w:p>
    <w:p>
      <w:pPr>
        <w:pStyle w:val="Heading2"/>
      </w:pPr>
      <w:r>
        <w:t>Regeste</w:t>
      </w:r>
    </w:p>
    <w:p>
      <w:r>
        <w:t>Regeste Durchführung der Unfallverhütung (Art. 65 KUVG, Art. 17, 18, 21 und 24 VO II über die Unfallversicherung). - Weisungsrecht von Fachinspektoraten; Verfügungsbegriff; Beschwerderecht (Erw. 1). - Standort der zu einer Schweissanlage gehörenden Azetylen- und Sauerstoff-Flaschen (Erw. 3-6).</w:t>
      </w:r>
    </w:p>
    <w:p>
      <w:r>
        <w:t>Regeste Prévention des accidents (art. 65 LAMA. art. 17, 18, 21 et 24 Ord. II sur l'assurance-accidents). - Compétence des inspectorats spéciaux pour ordonner des mesures; notion de décision; droit de recours (consid. 1). - Emplacement des bouteilles d'acétylène et d'oxygène d'une installation de soudure (consid. 3-6).</w:t>
      </w:r>
    </w:p>
    <w:p>
      <w:r>
        <w:t>Regesto Prevenzione degli infortuni (art. 65 LAMI, art. 17, 18, 21 e 24 Ord. II sull'assicurazione contro gl'infortuni). - Competenza degli ispettorati speciali per ordinare misure cautelari; nozione di decisione; diritto di ricorso (consid. 1). - Posto delle bombole d'acetilene e d'ossigeno nell'ambito di una attrezzatura per saldare (consid. 3-6).</w:t>
      </w:r>
    </w:p>
    <w:p>
      <w:pPr>
        <w:pStyle w:val="Heading2"/>
      </w:pPr>
      <w:r>
        <w:t>Erwägungen</w:t>
      </w:r>
    </w:p>
    <w:p>
      <w:r>
        <w:rPr>
          <w:b/>
        </w:rPr>
        <w:t>E. 1</w:t>
      </w:r>
    </w:p>
    <w:p>
      <w:r>
        <w:t>a) Der Streitsache liegt eine Weisung des Inspektorates des Schweizerischen Vereins für Schweisstechnik (SVS) vom 29. Juni 1972 zugrunde. Die Weisungen dieses Vereins sind den Weisungen, welche die SUVA gemäss Art. 65 Abs. 2 KUVG erlässt, gleichgestellt (Art. 17 Abs. 2 und 18 VO II über die Unfallversicherung). Diese Weisungen stellen Verfügungen im Sinne des Art. 5 Abs. 1 VwG dar. b) Gemäss Art. 21 VO II kann gegen diese Verfügungen innert 20 Tagen Rekurs beim Bundesamt für Sozialversicherung eingereicht werden; seit Inkrafttreten des VwG handelt es sich um eine Beschwerde und die Frist beträgt laut Art. 50 VwG 30 Tage. c) Art. 24 VO II räumt der SUVA und dem Rekurrenten die Befugnis ein, gegen den Entscheid des Bundesamtes für Sozialversicherung innert 20 Tagen Rekurs an den Bundesrat zu ergreifen. Seit Inkrafttreten des revidierten OG richtet sich dieses Rekursrecht nach Art. 98 OG . Gemäss lit. c dieser Bestimmung in Verbindung mit Art. 128 OG ist die Verwaltungsgerichtsbeschwerde an das Eidg. Versicherungsgericht zulässig gegen Verfügungen der den Departementen unterstellten Dienstabteilungen, die als Beschwerdeinstanz entscheiden, soweit - was im vorliegenden Fall nicht zutrifft - nicht zunächst die Beschwerde an eine eidgenössische Rekurskommission zulässig ist. Die Beschwerdefrist beträgt 30 Tage ( Art. 106 Abs. 1 OG ).</w:t>
      </w:r>
    </w:p>
    <w:p>
      <w:r>
        <w:rPr>
          <w:b/>
        </w:rPr>
        <w:t>E. 2</w:t>
      </w:r>
    </w:p>
    <w:p>
      <w:r>
        <w:t>Da der angefochtene Entscheid weder von einer Rekurskommission noch von einem kantonalen Gericht als Vorinstanz erlassen wurde und es zudem nicht um die Bewilligung oder Verweigerung von Versicherungsleistungen geht, richtet sich die Kognitionsbefugnis nach den Art. 104 lit. a und b und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BGE 100 V 197 S. 200</w:t>
      </w:r>
    </w:p>
    <w:p>
      <w:r>
        <w:rPr>
          <w:b/>
        </w:rPr>
        <w:t>E. 3</w:t>
      </w:r>
    </w:p>
    <w:p>
      <w:r>
        <w:t>Gemäss Art. 65 Abs. 1 KUVG hat der der SUVA unterstellte Betrieb zur Verhütung von Unfällen "alle Massnahmen zu treffen, die nach der Erfahrung notwendig, nach dem Stande der Technik anwendbar und den Verhältnissen des Betriebes angemessen sind". Laut Art. 3 Abs. 1 lit. c der bundesrätlichen Verordnung über Azetylen, Sauerstoff und Kalziumkarbid vom 28. Februar 1950 gehören Azetylendissous-Flaschenbatterien für bis und mit 60 kg Azetylenfüllung zu den meldepflichtigen Einrichtungen. Gemäss Art. 19 Abs. 1 der erwähnten Verordnung dürfen sie nur in geeigneten Werkstätten und anderen Räumen mit guter Beleuchtung und genügender Lüftungsmöglichkeit sowie im Freien verwendet werden.</w:t>
      </w:r>
    </w:p>
    <w:p>
      <w:r>
        <w:rPr>
          <w:b/>
        </w:rPr>
        <w:t>E. 4</w:t>
      </w:r>
    </w:p>
    <w:p>
      <w:r>
        <w:t>Im vorliegenden Fall ist die Belüftung von besonderer Bedeutung. Dem vom Bundesamt für Sozialversicherung eingeholten Gutachten ist zu entnehmen, dass bei Flaschenbatterien immer mit Gasaustritt zu rechnen ist, was die Bildung eines explosiven Gas-Luftgemisches ermöglicht. Die Intensität und damit die Gefährlichkeit des Gemisches hängt einerseits ab vom Azetyleninhalt der Flaschen, anderseits von der Luftmenge, mit welcher sich das austretende Gas vermischen kann. Nach den Aussagen des Experten, an denen zu zweifeln kein Anlass besteht, würde der Inhalt der gelagerten Azetylenbehälter genügen, um den Raum von 520 m3 mit einem hochexplosiven Gas-Luftgemisch zu füllen, das bei einer Zündung zu einer verheerenden Explosion mit wahrscheinlich anschliessendem Grossbrand führen würde. Die von der Beschwerdeführerin dagegen vorgebrachten Einwände sind unbehelflich. Die Höhe des Treppenhauses ändert am Rauminhalt nichts und der Umstand, dass sich im Treppenhaus mehrere Türen befinden, ist vom Experten berücksichtigt worden. Die Behauptung, die Expertise sei nicht objektiv, ist haltlos: Der Experte erachtete gerade die Mehrzahl der Argumente, die für das Inspektorat des SVS massgebend gewesen waren, als unzutreffend oder sekundär. Schliesslich ist auch die Berufung der Beschwerdeführerin auf die kantonale Feuerpolizei unerheblich; im Schreiben vom 3. November 1972 hatte die kantonale Gebäudeversicherungsanstalt zwar bestätigt, sie habe gegen die Aufstellung von Sauerstoff- und Azetylenflaschen im Treppenhaus nichts einzuwenden; die Beschwerdeführerin übergeht aber in der Verwaltungsgerichtsbeschwerde BGE 100 V 197 S. 201 den Nachsatz in jenem Schreiben, worin die einschlägigen eidgenössischen Vorschriften über die. Lagerung von Azetylen ausdrücklich vorbehalten werden.</w:t>
      </w:r>
    </w:p>
    <w:p>
      <w:r>
        <w:rPr>
          <w:b/>
        </w:rPr>
        <w:t>E. 5</w:t>
      </w:r>
    </w:p>
    <w:p>
      <w:r>
        <w:t>Steht somit fest, dass die Unfallgefahr gross ist, fragt es sich, wie erheblich die Wahrscheinlichkeit sei, dass sich diese Gefahr verwirkliche. Dieses Risiko könnte dann als mässig erachtet werden, wenn die Flaschenbatterie in einem unbenutzten, abgeschlossenen Raum aufgestellt würde, der nur von Fachpersonal betreten werden darf. Dies trifft aber hier nicht zu. Nach Angaben der Beschwerdeführerin dient das fragliche Treppenhaus als Verbindungsweg zwischen Büro und Werkstatt. Das Risiko, dass bei Gasaustritt aus Unvorsichtigkeit eine Explosion verursacht wird, ist demnach sehr hoch. Weder ein Rauchverbot, das nach den zutreffenden Ausführungen des Experten erfahrungsgemäss nicht durchsetzbar und somit wirkungslos wäre, noch ein Gaswarngerät vermöchten die Gefahr wirksam herabzusetzen.</w:t>
      </w:r>
    </w:p>
    <w:p>
      <w:r>
        <w:rPr>
          <w:b/>
        </w:rPr>
        <w:t>E. 6</w:t>
      </w:r>
    </w:p>
    <w:p>
      <w:r>
        <w:t>Liegt mithin eine objektive Unfallgefahr vor, so hat der Betrieb gemäss Art. 65 Abs. 1 KUVG die notwendigen Massnahmen zu treffen. Diese müssen nach dem Stande der Technik anwendbar und den Verhältnissen des Betriebes angemessen sein. Die Vorkehr besteht zunächst im Verzicht, die Flaschenbatterie im Treppenhaus aufzustellen. Die in den Akten erwähnten Varianten für einen neuen Standort sind technisch unproblematisch. Dazu kommt, dass eine Verlegung der fraglichen Behälter, welche nach Angaben der Beschwerdeführerin ca. Fr. 5000.-- kosten würde, den Verhältnissen der SKS Metallbau AG, einem Betrieb mit 25 Mitarbeitern, durchaus angemessen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