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w:t>
      </w:r>
    </w:p>
    <w:p>
      <w:r>
        <w:t>Bundesgericht (BGE), 1974-04-24, DE</w:t>
      </w:r>
    </w:p>
    <w:p>
      <w:r>
        <w:rPr>
          <w:b/>
        </w:rPr>
        <w:t xml:space="preserve">Quelle: </w:t>
      </w:r>
      <w:r>
        <w:t>https://mcp.opencaselaw.ch/entscheid/bge_BGE_100_V_1</w:t>
      </w:r>
    </w:p>
    <w:p>
      <w:r>
        <w:t>FR: ATF 100 V 1</w:t>
      </w:r>
    </w:p>
    <w:p>
      <w:r>
        <w:t>IT: DTF 100 V 1</w:t>
      </w:r>
    </w:p>
    <w:p>
      <w:pPr>
        <w:pStyle w:val="Heading2"/>
      </w:pPr>
      <w:r>
        <w:t>Regeste</w:t>
      </w:r>
    </w:p>
    <w:p>
      <w:r>
        <w:t>Regeste Art. 128 und 129 Abs. 1 lit. b OG. Befugnis des Eidg. Versicherungsgerichts zur Überprüfung von Schiedsgerichtsentscheiden nach Art. 25 KUVG über die Anwendung kantonaler Rahmentarife (Art. 22bis KUVG) im Einzelfall (Erw. 1). Art. 12 Abs. 2 Ziff. 1 lit. a KUVG. Bedeutung der Tarifposition "Konsultation" im Rahmen des bundesrechtlichen Begriffs der "ärztlichen Behandlung" (Erw. 2).</w:t>
      </w:r>
    </w:p>
    <w:p>
      <w:r>
        <w:t>Regeste Art. 128 et 129 al. 1 lit. b OJ. Jugement d'un tribunal arbitral (art. 25 LAMA) concernant l'application à un cas particulier du tarif-cadre cantonal (art. 22bis LAMA). Pouvoir d'examen du Tribunal fédéral des assurances (consid. 1). Art. 12 al. 2 ch. 1 lit. a LAMA. Signification de la rubrique tarifaire "consultation", dans le cadre de la notion légale de "soins donnés par un médecin" (consid. 2).</w:t>
      </w:r>
    </w:p>
    <w:p>
      <w:r>
        <w:t>Regesto Art. 128 e 129 cpv. 1 lit. b OG. Giudizio di un tribunale arbitrale (art. 25 LAMI) concernente l'applicazione della "tariffa limite" cantonale (art. 22bis LAMI). Cognizione del Tribunale federale delle assicurazioni (consid. 1). Art. 12 cpv. 2 cifra 1 lit. a LAMI. Significato della rubrica tariffaria "consultazione" nell'ambito della nozione legale di "cura medica".</w:t>
      </w:r>
    </w:p>
    <w:p>
      <w:pPr>
        <w:pStyle w:val="Heading2"/>
      </w:pPr>
      <w:r>
        <w:t>Erwägungen</w:t>
      </w:r>
    </w:p>
    <w:p>
      <w:r>
        <w:rPr>
          <w:b/>
        </w:rPr>
        <w:t>E. 1</w:t>
      </w:r>
    </w:p>
    <w:p>
      <w:r>
        <w:t>a) Nach Art. 128 und Art. 97 Abs. 1 OG beurteilt das Eidg. Versicherungsgericht letztinstanzlich Verwaltungsgerichtsbeschwerden gegen Verfügungen im Sinne von Art. 5 VwG. Als solche gelten Anordnungen der Behörden im Einzelfall, die sich auf öffentliches Recht des Bundes stützen und bestimmte Voraussetzungen hinsichtlich ihres Gegenstandes erfüllen. Die vorliegende Verwaltungsgerichtsbeschwerde richtet sich gegen einen Entscheid des kantonalen Schiedsgerichts im Sinne von Art. 25 KUVG , somit gegen eine Verfügung nach Art. 5 VwG. Die Verfügung hat eine Auslegungsfrage im Zusammenhang mit der vom Regierungsrat des Kantons Zürich erlassenen Krankenkassen-Taxordnung zum Gegenstand. Diese stellt einen kantonalrechtlichen Erlass dar, welcher sich auf eine Delegationsnorm des Bundesrechts stützt ( Art. 22bis KUVG ). Das Eidg. Versicherungsgericht ist daher befugt, Verfügungen, welche die Anwendung des Tarifes betreffen, auf Übereinstimmung mit dem Bundesrecht zu überprüfen. Dem steht die Bestimmung von Art. 129 Abs. 1 lit. b OG nicht entgegen, da hievon lediglich "Verfügungen über Tarife" (insbesondere deren Genehmigung) betroffen sind. Dafür spricht auch die Unzulässigkeit der Verwaltungsgerichtsbeschwerde nach lit. e gegen Verfügungen über "die Zuteilung von Betrieben in die Tarifklassen der obligatorischen BGE 100 V 1 S. 4 Unfallversicherung" ( Art. 102 ff. KUVG ); eine besondere Bestimmung über den Ausschluss dieser Verfügungen von der verwaltungsgerichtlichen Überprüfbarkeit hätte sich erübrigt, wenn der Ausschlussgrund des Art. 129 Abs. 1 lit. b OG gleichzeitig die Anwendung von Tarifen im Einzelfall umfassen würde. b) Im vorliegenden Verfahren geht es primär um die tarifliche Bewertung einer ärztlichen Leistung und nicht um eine Versicherungsleistung. Das Eidg. Versicherungsgericht kann daher die Angemessenheit des Entscheides nicht überprüfen und ist an die vorinstanzliche Sachverhaltsfeststellung gebunden, soweit diese nicht offensichtlich mangelhaft ist ( Art. 104 und 105 OG in Verbindung mit Art. 132 OG ). Die Sachverhaltsfeststellung wird mit Recht von keiner Seite bestritten. Deshalb ist der vorinstanzliche Entscheid lediglich auf Verletzung von Bundesrecht einschliesslich Überschreitung oder Missbrauch des Ermessens zu überprüfen.</w:t>
      </w:r>
    </w:p>
    <w:p>
      <w:r>
        <w:rPr>
          <w:b/>
        </w:rPr>
        <w:t>E. 2</w:t>
      </w:r>
    </w:p>
    <w:p>
      <w:r>
        <w:t>a) Streitig ist, ob der Beschwerdeführer berechtigt war, für die von der Arztgehilfin selbständig vorgenommenen Injektionen ausser der hiefür geltenden Taxe (Position 19 bzw. 26 b und d der Taxordnung) auch jene für Konsultationen (Position 9) zu verrechnen. Dies ist zunächst eine Frage der Auslegung der kantonalen Taxordnung, insbesondere des darin enthaltenen Begriffs der "Konsultation". Berührt werden damit aber auch die bundesrechtlichen Begriffe der "ärztlichen Behandlung" (Art. 12 Abs. 2 Ziff. 1 lit. a KUVG) bzw. der "ärztlichen Leistung" ( Art. 22 Abs. 1 KUVG ). Diese Rechtsbegriffe werden im Gesetz nicht näher umschrieben; aus der Bestimmung von Art. 12 Abs. 2 Ziff. 1 KUVG geht aber hervor, dass als "ärztliche Behandlung" nur Massnahmen gelten, die vom Arzt selbst, nicht dagegen solche, die von medizinischen Hilfspersonen selbständig durchgeführt werden. Gemäss Praxis fallen unter den Begriff der "ärztlichen Behandlung" allerdings auch Massnahmen, die unter direkter Kontrolle des Arztes durch dessen eigenes Hilfspersonal vorgenommen werden (vgl. BONER/HOLZHERR, Die Krankenversicherung, Bern 1969, S. 43). Damit von einer ärztlichen Behandlung im Sinne des Gesetzes gesprochen werden kann, wird jedoch vorausgesetzt, dass der Arzt anlässlich der Durchführung der Massnahme in persönlichen Kontakt zum Patienten tritt. Das BGE 100 V 1 S. 5 Bundesamt für Sozialversicherung weist in diesem Zusammenhang mit Recht darauf hin, dass nur unter dieser Voraussetzung Gewähr dafür besteht, dass der Arzt unverzüglich eingreifen oder auf eine angeordnete Massnahme zurückkommen kann, wenn sich dies aus besonderen Gründen als notwendig erweisen sollte. Der kantonale Entscheid, wonach die ohne Mitwirkung des Arztes durchgeführten Injektionen nicht als Konsultationen verrechnet werden dürfen, verletzt somit in keiner Weise Bundesrecht. Ebensowenig kann gesagt werden, die Vorinstanz habe das ihr zustehende Ermessen überschritten oder missbraucht. b) Was der Beschwerdeführer hiegegen vorbringt, vermag nicht zu einem anderen Ergebnis zu führen. Unbehelflich ist namentlich der Hinweis auf die Bestimmung des Obligationenrechts betreffend die Haftung für Hilfspersonen ( Art. 101 OR ). Dem Arzt steht es frei, seiner Verantwortung dadurch Rechnung zu tragen, dass er die Durchführung der Massnahme persönlich überwacht bzw. mit einer Konsultation verbindet. Tut er dies, so kann er den zusätzlichen Aufwand - unter Vorbehalt des Gebots einer wirtschaftlichen Behandlungsweise ( Art. 23 KUVG ) - verrechnen. Dagegen vermag die Haftbarkeit des Arztes als solche eine tarifliche Gleichstellung der vom Hilfspersonal allein vorgenommenen mit den vom Arzt selbst oder unter seiner persönlichen Kontrolle durchgeführten Massnahmen nicht zu rechtfertigen. c) Der Beschwerdeführer macht des weitern geltend, bei der Vornahme von Injektionen gelange der Arzt auf Grund der Taxordnung nur zu einer angemessenen Entschädigung, wenn er gleichzeitig eine Konsultation verrechnen könne. Es mag zwar zutreffen, dass die tariflichen Ansätze für Injektionen im Vergleich zu anderen Tarifpositionen als verhältnismässig niedrig erscheinen. Hierin liegt jedoch keine Verletzung von Bundesrecht. Es handelt sich vielmehr ausschliesslich um eine Frage der Angemessenheit, welche das Eidg. Versicherungsgericht, wie in Erwägung 1 b ausgeführt, im vorliegenden Verfahren nicht zu überprüfen hat.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