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51 vom 22. März 1974</w:t>
      </w:r>
    </w:p>
    <w:p>
      <w:r>
        <w:t>Bundesgericht (BGE), 1974-03-22, DE</w:t>
      </w:r>
    </w:p>
    <w:p>
      <w:r>
        <w:rPr>
          <w:b/>
        </w:rPr>
        <w:t xml:space="preserve">Quelle: </w:t>
      </w:r>
      <w:r>
        <w:t>https://mcp.opencaselaw.ch/entscheid/bge_BGE_100_Ib_51</w:t>
      </w:r>
    </w:p>
    <w:p>
      <w:r>
        <w:t>FR: BGE BGE 100 Ib 51 du 22 mars 1974</w:t>
      </w:r>
    </w:p>
    <w:p>
      <w:r>
        <w:t>IT: BGE BGE 100 Ib 51 del 22 marzo 1974</w:t>
      </w:r>
    </w:p>
    <w:p>
      <w:pPr>
        <w:pStyle w:val="Heading2"/>
      </w:pPr>
      <w:r>
        <w:t>Regeste</w:t>
      </w:r>
    </w:p>
    <w:p>
      <w:r>
        <w:t>Regeste Stempelabgaben auf Wertpapieren. Berechnung des Abgabesatzes bei ausländischen, auf Schweizer Franken lautenden Schuldverschreibungen (Notes), deren maximale Laufzeit zwar von vornherein bestimmt ist, die aber, sofern keine Verlängerungserklärung abgegeben wird, schon vor Ablauf der maximalen Laufzeit rückzahlbar sind (Art. 14 und 15 StG; Art. 14 und 15 StV).</w:t>
      </w:r>
    </w:p>
    <w:p>
      <w:r>
        <w:t>Regeste Droits de timbre sur les titres. Détermination du taux applicable à l'imposition d'obligations étrangères (Notes) libellées en francs suisses et dont la durée maximale est déterminée à l'avance, mais qui, à défaut de déclaration de prolongation, sont déjà remboursables avant l'expiration de la durée maximale (art. 14 et 15 LT; art. 14 et 15 OT).</w:t>
      </w:r>
    </w:p>
    <w:p>
      <w:r>
        <w:t>Regesto Tasse di bollo sui titoli. Aliquota applicabile alla tassazione di obbligazioni straniere ("notes") emesse in franchi svizzeri e con durata massima predeterminata, ma rimborsabili già prima della scadenza della durata massima (art. 14 e 15 LB; art. 14 e 15 OB).</w:t>
      </w:r>
    </w:p>
    <w:p>
      <w:pPr>
        <w:pStyle w:val="Heading2"/>
      </w:pPr>
      <w:r>
        <w:t>Erwägungen</w:t>
      </w:r>
    </w:p>
    <w:p>
      <w:r>
        <w:rPr>
          <w:b/>
        </w:rPr>
        <w:t>E. 1</w:t>
      </w:r>
    </w:p>
    <w:p>
      <w:r>
        <w:t>Die Beschwerdeführerin bestreitet grundsätzlich die Abgabepflicht für das von ihr plazierte Anleihen nicht. Sie anerkennt auch stillschweigend, dass es sich um im Inlandverkehr abgesetzte Schuldverschreibungen handelt, obwohl ein Teil der Notes von Gläubigern, die nicht in der Schweiz oder im Fürstentum Liechtenstein domiziliert sind, übernommen wurde. Strittig ist, ob die Notes eine Laufzeit von fünf oder sieben Jahren haben. Dies ist einmal von Bedeutung dafür, ob die Steuer nach den Regeln über die Vergünstigungen, die von der EStV unter gewissen Voraussetzungen gewährt werden, nur von den Stücken zu bezahlen ist, die von Inländern übernommen wurden oder ob sie auf allen Anteilen zu entrichten ist. Es hängt aber - abgesehen von diesen Erleichterungen - davon auch ab, BGE 100 Ib 51 S. 54 ob die Steuer für fünf oder für sieben Jahre geschuldet ist, da dieser Umstand unabhängig von den von der EStV gewährten Erleichterungen für an Ausländer abgegebene Anleihen von Bedeutung ist. a) Nach Art. 12 StG beträgt der Abgabesatz zwölf Zehntel vom Hundert des Nennwert bei Obligationen oder der Schuldsumme bei ihnen gleichgestellten Urkunden, es sei denn, ihre Laufzeit betrage weniger als zehn Jahre. Für diesen Fall enthält Art. 14 StG eine Sonderregelung; nach ihr wird die Abgabe für jedes volle oder angefangene Jahr dieser Laufzeit nur je mit dem zehnten Teil der Abgabesätze belastet. Wird eine Obligation erneuert, so ist die vorgesehene Abgabe wieder zu entrichten, wobei die nunmehrige neue Laufzeit zu berücksichtigen ist (Art. 15). Die Anleihebedingungen der Gesellschaft sehen vor, dass die Laufzeit grundsätzlich fünf Jahre beträgt und dass sie durch einseitige Erklärung der Schuldnerin für den gesamten Betrag oder jeden Gläubiger für die von ihm geliehene Summe um zwei Jahre verlängert werden kann. Wenn von dieser Möglichkeit Gebrauch gemacht wird, so liegt darin keine Erneuerung der Schuldverhältnisse im Sinne von Art. 15 StG . Diese setzt voraus, dass eine in den ursprünglichen Bedingungen abschliessend geregelte Laufzeit neu festgesetzt wird, entweder in dem bisher schon verabredeten oder einem andern Mass. Zu beurteilen ist daher einzig, ob im vorliegenden Fall die Laufzeit steuerrechtlich fünf oder sieben Jahre beträgt. b) Für die Berechnung der Anlagedauer enthält die Vollziehungsverordnung zu den Bundesgesetzen über die Stempelabgaben vom 7. Juni 1928 (Verordnung) präzisierende Einzelvorschriften, deren Verfassungs- und Gesetzmässigkeit nicht in Frage steht. Art. 14 Abs. 1 der Verordnung befasst sich mit dem Fall der Obligationen, die eine bestimmte Laufzeit aufweisen oder bei denen die Schuld bis zu einem bestimmten Zeitpunkt durch eine einmalige Zahlung zu tilgen ist. Die Verordnung unterscheidet in dieser Hinsicht zwischen der bestimmten Laufzeit im ersten Fall und der Maximalfrist im zweiten Fall. Sie sieht vor, dass die Abgabe nach der Dauer dieser bestimmten Laufzeit im einen Fall und nach der Maximallaufzeit im andern Fall berechnet wird. Ist somit bei Obligationen eine maximale Laufzeit von vorneherein bestimmt, wird der Besteuerung diese maximale Laufzeit zugrundegelegt. Dagegen wird im Fall der nicht endgültig BGE 100 Ib 51 S. 55 bestimmbaren Laufzeit die Steuer nicht vorerst nur auf der Mindestlaufzeit erhoben und die Abgabe sodann ergänzt, sondern es wird von der maximalen Laufzeit als Berechnungsperiode ausgegangen, auch wenn tatsächlich einzelne oder alle Anteile vor Ablauf der Maximalfrist zurückbezahlt werden sollten. Vorbehalten bleibt einzig der Fall, in dem eine Ratenzahlung mit bestimmten Terminen zum voraus festgesetzt ist und damit die Anlagedauer genau bestimmbar ist (Art. 14 Abs. 2 der Verordnung). Ob diese Regelung steuerwirtschaftlich angezeigt ist oder nicht, steht nicht in Frage; jedenfalls sprechen Gründe der Praktikabilität für sie ( BGE 73 I 306 , Erw. 3). Die Ordnung ist umsoweniger zu beanstanden, als der Anleihensschuldner es durch die Gestaltung weitgehend in der Hand hat, die Abgabeberechnung zu beeinflussen. So hätte es im vorliegenden Fall der Schuldnerin freigestanden, sich mit einer fünfjährigen Laufzeit zu begnügen und sodann eine Kündigungsfrist vorzusehen. Damit hätte sie sich allerdings dem Risiko ausgesetzt, die Anleihe nach fünf Jahren ganz oder teilweise zurückzahlen zu müssen. Wenn sie nicht diesen Weg eingeschlagen hat, so wohl deshalb, weil sie sich jedenfalls das Anleihen für eine siebenjährige Dauer hat sichern wollen. Es besteht daher kein Anlass, diesen Fall eher jenem in Art. 15 der Verordnung geregelten gleichzustellen als dem in Art. 14. Obligationen, die - wie hier - eine Maximalfrist vorsehen, fallen demnach unter Art. 14 Abs. 1 der Verordnung ( BGE 73 I 306 , Erw. 3; AMSTUTZ und WYSS, Stempelsteuerrecht, N. 1 zu Art. 14 StG sowie N. 2 und 3 zu Art. 14 der Verordnung).</w:t>
      </w:r>
    </w:p>
    <w:p>
      <w:r>
        <w:rPr>
          <w:b/>
        </w:rPr>
        <w:t>E. 2</w:t>
      </w:r>
    </w:p>
    <w:p>
      <w:r>
        <w:t>Fasst man im vorliegenden Fall die in den Anleihensbedingungen enthaltene Regelung der Rückzahlung ins Auge, ergibt sich, dass die maximale Anleihedauer auf sieben Jahre festgesetzt ist, wobei, wenn keine Verlängerungserklärung abgegeben wird, die Anleihe schon nach fünf Jahren zurückgezahlt werden kann. Unzutreffend ist, dass das Anleihen in jedem Fall am 1. April 1978 zurückzuzahlen wäre, was einzig die Anwendung des Art. 14 Abs. 2 der Verordnung rechtfertigen könnte. Die Fälligkeit zur Rückzahlung tritt nämlich an diesem Tag nicht in jedem Fall ein, sondern nur, sofern die in den Anleihensbedingungen vorbehaltene Verlängerungserklärung unterbleibt. Diese Folgerung ergibt sich aus der Anwendung der gesetzlichen Regelung, die auf die maximal mögliche Dauer als Bemessungskriterium BGE 100 Ib 51 S. 56 abstellt; sie ist nicht, wie die Beschwerdeführerin annimmt, das Ergebnis einer wirtschaftlichen Betrachtungsweise. Dahingestellt bleiben kann, ob das Rechtsgeschäft, das die Gesellschaft mit ihren Gläubigern abschloss, hinsichtlich der letzten zwei Jahre zivilrechtlich ein Rechtsgeschäft unter aufschiebender Bedingung ist. Das StG stellt nicht auf die allfällige zivilrechtliche Interpretation des Sachverhaltes ab, sondern einzig auf steuerrechtliche Gesichtspunkte. Das gilt jedenfalls, soweit zu beurteilen ist, ob die Steuer ganz allgemein entsprechend einer Laufzeit von fünf oder von sieben Jahren zu berechnen ist. Es muss erst recht gelten, wenn zu entscheiden ist, ob die Beschwerdeführerin Anspruch darauf erheben kann, nach der Sonderregelung behandelt zu werden, die die EStV für Anleihen von höchstens fünf Jahren Laufzeit gewährt. Steuerpflichtige können die Vergünstigung nicht in Anspruch nehmen, wenn durch die Art, wie sie ihre vertraglichen Beziehungen ausgestalten, die Möglichkeit einer längeren Bindung als von der EStV angestrebt, geschaffen wird. Die Anwendung der begünstigenden Sonderregelung ist daher ohne Verletzung von Bundesrecht verweigert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