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94</w:t>
      </w:r>
    </w:p>
    <w:p>
      <w:r>
        <w:t>Bundesgericht (BGE), 1974-01-01, DE</w:t>
      </w:r>
    </w:p>
    <w:p>
      <w:r>
        <w:rPr>
          <w:b/>
        </w:rPr>
        <w:t xml:space="preserve">Quelle: </w:t>
      </w:r>
      <w:r>
        <w:t>https://mcp.opencaselaw.ch/entscheid/bge_BGE_100_IV_94</w:t>
      </w:r>
    </w:p>
    <w:p>
      <w:r>
        <w:t>FR: ATF 100 IV 94</w:t>
      </w:r>
    </w:p>
    <w:p>
      <w:r>
        <w:t>IT: DTF 100 IV 94</w:t>
      </w:r>
    </w:p>
    <w:p>
      <w:pPr>
        <w:pStyle w:val="Heading2"/>
      </w:pPr>
      <w:r>
        <w:t>Regeste</w:t>
      </w:r>
    </w:p>
    <w:p>
      <w:r>
        <w:t>Regeste Art. 45 Abs. 2 VRV. Mündet eine Nebenstrasse trichterförmig in eine vortrittsberechtigte Hauptstrasse ein, so darf auch die aus der Nebenstrasse kommende Strassenbahn bis zur markierten Grenzlinie zwischen Haupt- und Nebenstrasse fahren, ohne die auf der Hauptstrasse verkehrenden Fahrzeuge in der Ausübung ihres Vortrittsrechtes zu behindern.</w:t>
      </w:r>
    </w:p>
    <w:p>
      <w:r>
        <w:t>Regeste Art. 45 al. 2 OCR. Même lorsque le débouché d'une route secondaire sur une chaussée principale se présente comme un entonnoir, le tram venant de la voie secondaire peut s'avancer jusqu'à la ligne de démarcation séparant les deux artères, sans gêner les usagers prioritaires dans l'exercice de leurs droits.</w:t>
      </w:r>
    </w:p>
    <w:p>
      <w:r>
        <w:t>Regesto Art. 45 cpv. 2 OCStr. Qualora una strada secondaria sbocchi a forma d'imbuto in una strada principale, anche il tramvai proveniente dalla prima può procedere fino alla linea di separazione delle due strade, senza ostacolare il diritto di precedenza degli utenti della strada principale.</w:t>
      </w:r>
    </w:p>
    <w:p>
      <w:pPr>
        <w:pStyle w:val="Heading2"/>
      </w:pPr>
      <w:r>
        <w:t>Erwägungen</w:t>
      </w:r>
    </w:p>
    <w:p>
      <w:r>
        <w:rPr>
          <w:b/>
        </w:rPr>
        <w:t>E. 1</w:t>
      </w:r>
    </w:p>
    <w:p>
      <w:r>
        <w:t>Es ist unbestritten, dass der Beschwerdeführer den auf der Weissenstein-/Seftigenstrasse verkehrenden Fahrzeugen gemäss Art. 45 Abs. 2 VRV den Vortritt zu lassen hatte. Dies ist durch die Signalisierung des genannten Strassenzuges als Hauptstrasse mit Vortrittsrecht (Signal No 307) sowie durch die Aufhebung des Vortrittsrechts für den aus dem nördlichen Zweig der Seftigenstrasse herkommenden Verkehr (Signal No 116) deutlich gemacht. Streitig ist indessen, bis wo die aus der nördlichen Seftigenstrasse kommende Strassenbahn fahren darf, ohne den sich auf dem Strassenzug Weissenstein-/Seftigenstrasse bewegenden Verkehr in der Ausübung seines Vortrittsrechts zu behindern. Während die kantonalen Instanzen der Auffassung sind, sie müsse bei der Spitze der weiss-schraffierten Fläche im nördlichen Teil der Seftigenstrasse warten, damit den aus der Weissensteinstrasse einmündenden Fahrzeugen das Einspuren nach Norden in die Seftigenstrasse nicht BGE 100 IV 94 S. 97 erschwert werde, macht der Beschwerdeführer geltend, sie dürfe bis zur markierten Linie vordringen, die den erwähnten Strassenzug begrenzt.</w:t>
      </w:r>
    </w:p>
    <w:p>
      <w:r>
        <w:rPr>
          <w:b/>
        </w:rPr>
        <w:t>E. 2</w:t>
      </w:r>
    </w:p>
    <w:p>
      <w:r>
        <w:t>Nach ständiger Rechtsprechung steht das Vortrittsrecht dem Berechtigten auf der ganzen Fläche zu, auf der sich die zusammentreffenden Strassen überschneiden, wobei sich die Ausdehnung dieser Fläche nach den beiden Punkten bestimmt, in denen die Randlinien der Hauptstrasse und der einmündenden Nebenstrasse zusammentreffen ( BGE 80 IV 199 , BGE 85 IV 87 ). Wo die Einmündung, wie im vorliegenden Falle, durch Abrundung der Randlinien trichterförmig ausgeweitet ist, stimmen diese Punkte mit der Stelle überein, wo sich die Hauptstrasse auszuweiten beginnt. Diese unter der Herrschaft des MFG geübte Rechtsprechung entspricht auch der heutigen Ordnung. In BGE 98 IV 117 hat das Bundesgericht denn auch ausgeführt, bei trichterförmigen Einmündungen von Nebenstrassen in vortrittsberechtigte Hauptstrassen erstrecke sich das Einmündungsgebiet der vortrittsbelasteten Nebenstrasse über die ganze Länge der durch die gestrichelte Linie begrenzten Fläche. Der Wartepflichtige darf also bis zur gestrichelten Linie vorfahren, ohne den Vortrittsberechtigten zu behindern. Daraus ergibt sich, dass den auf dem Hauptstrassenzug Weissenstein-/Seftigenstrasse verkehrenden Fahrzeugen das Vortrittsrecht auf der ganzen Fläche zusteht, auf der sich die zusammentreffenden Strassen (nördlicher Teil der Seftigenstrasse und Hauptstrassenzug Weissenstein-/Seftigenstrasse) überschneiden, und dass diese Fläche nach den beiden Punkten bestimmt wird, an denen die Randlinien des Hauptstrassenzuges sich gegen die nördliche Seftigenstrasse hin abzubiegen beginnen. Demzufolge fällt die Grenze zwischen Haupt- und Nebenstrasse mit der markierten Begrenzungslinie (No 410) zusammen. Dies entspricht denn auch Art. 53 Abs. 5 SSV , wonach solche Linien (z.B. bei Einmündungen) die Fahrbahn von andern Verkehrsflächen abgrenzen. Das absolute Vortrittsrecht der den Hauptstrassenzug Weissenstein-/Seftigenstrasse benützenden Fahrzeuge ( Art. 36 Abs. 2 Satz 2 SVG , Art. 45 Abs. 2 VRV ) reicht somit bis zu dieser Begrenzungslinie und nur bis zu ihr. Wenn die auf der Seftigenstrasse von Norden kommenden Fahrzeuge bis zu dieser Linie vordringen, verletzen sie es nicht. Auch gegenüber BGE 100 IV 94 S. 98 der Strassenbahn reicht es nur bis zur Begrenzungslinie. Die Strassenbahn befindet sich insoweit nicht in anderer Rechtslage als die anderen von Norden kommenden Fahrzeuge. Nördlich der Begrenzungslinie gilt dagegen die allgemeine Ordnung, wonach die Strassenbahn vortrittsberechtigt ist ( Art. 38 Abs. 1 SVG ) und im übrigen das von links kommende Fahrzeug dem sich von rechts nähernden den Vortritt zu lassen hat ( Art. 36 Abs. 2 Satz 1 SVG ).</w:t>
      </w:r>
    </w:p>
    <w:p>
      <w:r>
        <w:rPr>
          <w:b/>
        </w:rPr>
        <w:t>E. 3</w:t>
      </w:r>
    </w:p>
    <w:p>
      <w:r>
        <w:t>Kilcher verlor deshalb das ihm als Benützer der Hauptstrasse zustehende absolute Vortrittsrecht im Augenblick, als er die markierte Begrenzungslinie überfuhr, um in die nördliche Seftigenstrasse einzubiegen. Der Beschwerdeführer hat folglich Art. 45 Abs. 2 VRV nicht übertreten. Nördlich der erwähnten Linie war die Strassenbahn vortrittsberechtigt.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