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63</w:t>
      </w:r>
    </w:p>
    <w:p>
      <w:r>
        <w:t>Bundesgericht (BGE), 1974-01-01, FR</w:t>
      </w:r>
    </w:p>
    <w:p>
      <w:r>
        <w:rPr>
          <w:b/>
        </w:rPr>
        <w:t xml:space="preserve">Quelle: </w:t>
      </w:r>
      <w:r>
        <w:t>https://mcp.opencaselaw.ch/entscheid/bge_BGE_100_IV_63</w:t>
      </w:r>
    </w:p>
    <w:p>
      <w:r>
        <w:t>FR: ATF 100 IV 63</w:t>
      </w:r>
    </w:p>
    <w:p>
      <w:r>
        <w:t>IT: DTF 100 IV 63</w:t>
      </w:r>
    </w:p>
    <w:p>
      <w:pPr>
        <w:pStyle w:val="Heading2"/>
      </w:pPr>
      <w:r>
        <w:t>Regeste</w:t>
      </w:r>
    </w:p>
    <w:p>
      <w:r>
        <w:t>Regeste Art. 3 SVG. Nach Art. 3 Abs. 3 SVG sind die Kantone unter dem Vorbehalt der Verletzung verfassungsmässiger Rechte der Bürger frei, auf Strassen, die nicht dem allgemeinen Durchgangsverkehr geöffnet sind, den Motorfahrzeug- und Fahrradverkehr ganz zu verbieten oder zeitlich zu beschränken, während sie andere Verkehrsbeschränkungen und Anordnungen nur unter den in Art. 3 Abs. 4 genannten einschränkenden Bedingungen erlassen dürfen (Erw. 1c).</w:t>
      </w:r>
    </w:p>
    <w:p>
      <w:r>
        <w:t>Regeste Art. 3 LCR: Il faut distinguer les interdictions et les restrictions à la circulation d'une part (art. 3 al. 3 LCR), que les cantons, sous réserve de violation des droits constitutionnels des citoyens, sont libres d'édicter sur les routes qui ne sont pas ouvertes au grand transit et, d'autre part, les autres limitations ou prescriptions, relatives à la façon de rouler (art. 3 al. 4 LCR), qui sont soumises à des conditions particulières et restrictives (consid. 1c).</w:t>
      </w:r>
    </w:p>
    <w:p>
      <w:r>
        <w:t>Regesto Art. 3 LCStr. I divieti e le limitazioni della circolazione (art. 3 cpv. 3 LCStr) che, salvi i diritti costituzionali dei cittadini, i cantoni sono liberi di promulgare per le strade non aperte al grande transito, devono essere tenuti distinti dalle prescrizioni intese a disciplinare il traffico (art. 3 cpv. 4 LCStr), che possono essere promulgate solo alle condizioni stabilite dalla legge (consid. 1c).</w:t>
      </w:r>
    </w:p>
    <w:p>
      <w:pPr>
        <w:pStyle w:val="Heading2"/>
      </w:pPr>
      <w:r>
        <w:t>Erwägungen</w:t>
      </w:r>
    </w:p>
    <w:p>
      <w:r>
        <w:rPr>
          <w:b/>
        </w:rPr>
        <w:t>E. 1</w:t>
      </w:r>
    </w:p>
    <w:p>
      <w:r>
        <w:t>a) Le recourant invoque en premier lieu l'illégalité de l'arrêté cantonal du 1er juillet 1971 fermant à la circulation le tronçon en cause, tout en y autorisant les livraisons. Il fait valoir que l'administration ne doit causer préjudice à la circulation des riverains que pour des raisons graves et que de telles raisons n'existent pas en l'occurrence; il relève que l'autre tronçon de la Grand-Rue et les rues avoisinantes sont autorisées aux riverains par le même arrêté cantonal, que l'autorité n'exerce qu'une surveillance médiocre sur le tronçon incriminé et qu'elle y tolère la circulation des taxis. Il invoque en outre l'article 82 al. 1 OSR, qui impose le choix de la mesure qui, pour atteindre son but, n'occasionnera que le minimum de restriction à la circulation; et il soutient que l'arrêté cantonal viole gravement cette disposition lorsqu'il interdit la circulation des riverains alors qu'il autorise largement en droit, et encore plus en fait, celle des livreurs. b) Celui qui est impliqué dans une poursuite pénale pour violation d'une interdiction peut, sous certaines conditions, faire trancher la question préjudicielle de la légalité de la décision d'interdiction, à l'exclusion de son opportunité (RO 98 IV 260, 266 et jurispr. citée). c) L'article 3 al. 2 LCR donne aux cantons la compétence d'interdire, restreindre ou régler la circulation sur certaines routes. Et l'alinéa 3 pose que la circulation des véhicules automobiles et des cycles peut être interdite complètement ou restreinte temporairement sur les routes qui - comme en l'espèce - ne sont pas ouvertes au grand transit. En l'espèce, ni la compétence de l'autorité qui a pris la décision d'interdiction de circuler ni la validité formelle de la BGE 100 IV 63 S. 65 décision ne sont contestées. Ce que conteste le recourant c'est la légalité de la décision, c'est-à-dire sa conformité au droit fédéral et plus particulièrement aux alinéas 2 et 3 de l'article 3 LCR. A la différence de l'article 3 al. 4 LCR qui fixe des conditions particulières et restrictives auxquelles l'autorité cantonale doit se soumettre pour édicter d'autres limitations ou prescriptions, l'article 3 al. 3 LCR n'impose aux cantons ni restrictions ni conditions à leur pouvoir d'interdire complètement ou partiellement la circulation sur les routes qui ne sont pas ouvertes au grand transit. Les cantons sont donc libres d'agir comme ils l'entendent dans ce domaine. Les décisions d'interdiction qu'ils prennent, pour autant qu'elles émanent d'une autorité compétente et répondent aux exigences formelles de la loi, ne sauraient donc - sous réserve des droits constitutionnels des citoyens (art. 3 al. 2 phrase 2 LCR) - être critiquées ou revues, faute d'une norme fédérale les subordonnant au respect de certains critères de fond. Cela découle déjà de l'art. 37bis al. 2 Cst. C'est précisément en raison de cette disposition constitutionnelle que le législateur a distingué les interdictions et restrictions à la circulation, d'une part (art. 3 al. 3 LCR), et les autres limitations ou prescriptions relatives à la façon de rouler, d'autre part (art. 3 al. 4 LCR) (cf. FF 1955 II 11, ad art. 4 al. 1 du projet de LCR; et Bull. stén. Conseil National 1956 p. 335, 336; Conseil des Etats 1958 p. 80). C'est donc à tort que le recourant invoque une violation du droit fédéral et de l'article 3 LCR. d) C'est en vain également que le recourant se plaint d'une violation de l'art. 82 al. 1 OSR. Cette règle légale est en effet une disposition d'exécution de l'art. 3 al. 4 LCR et n'est pas applicable aux décisions d'interdiction de circuler. D'ailleurs, en vertu du droit réservé aux cantons par l'art. 37bis al. 2 Cst. en matière d'interdiction de circulation ni le législateur fédéral ni le Conseil fédéral n'auraient pu édicter une quelconque disposition restreignant ce droit. e) Quant aux exceptions à l'interdiction de circuler, que le canton peut librement décréter, pour autant qu'elles répondent aux exigences formelles de la LCR et de ses dispositions d'application, elles échappent également à la censure de l'autorité fédérale. f) C'est donc à juste titre que la juridiction cantonale a retenu à la charge du recourant une infraction aux articles 27 LCR BGE 100 IV 63 S. 66 et 16 OSR et lui a infligé une amende en application de l'art. 90 LCR.</w:t>
      </w:r>
    </w:p>
    <w:p>
      <w:r>
        <w:rPr>
          <w:b/>
        </w:rPr>
        <w:t>E. 2</w:t>
      </w:r>
    </w:p>
    <w:p>
      <w:r>
        <w:t>Le recourant fait valoir encore, à l'encontre de l'arrêté cantonal du 1er juillet 1971 et de son application, plusieurs moyens tirés de la violation de l'article 4 Cst.: violation de l'égalité de traitement et arbitraire. De tels moyens auraient dû être invoqués dans le cadre d'un recours de droit public; ils ne peuvent pas faire l'objet d'un pourvoi en nullité (art. 269 al. 2 PPF) et sont partant irrecevables (RO 98 IV 138 et jurispr. citée).</w:t>
      </w:r>
    </w:p>
    <w:p>
      <w:r>
        <w:rPr>
          <w:b/>
        </w:rPr>
        <w:t>E. 3</w:t>
      </w:r>
    </w:p>
    <w:p>
      <w:r>
        <w:t>Quant à un moyen très subsidiaire du recourant, tiré de l'erreur de droit, il ne résiste pas à l'examen, face à une signalisation parfaitement nette et dont le sens ne peut échapper à aucun conducteur de véhicules automobiles ou de cycles.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