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161</w:t>
      </w:r>
    </w:p>
    <w:p>
      <w:r>
        <w:t>Bundesgericht (BGE), 1974-01-01, FR</w:t>
      </w:r>
    </w:p>
    <w:p>
      <w:r>
        <w:rPr>
          <w:b/>
        </w:rPr>
        <w:t xml:space="preserve">Quelle: </w:t>
      </w:r>
      <w:r>
        <w:t>https://mcp.opencaselaw.ch/entscheid/bge_BGE_100_IV_161</w:t>
      </w:r>
    </w:p>
    <w:p>
      <w:r>
        <w:t>FR: ATF 100 IV 161</w:t>
      </w:r>
    </w:p>
    <w:p>
      <w:r>
        <w:t>IT: DTF 100 IV 161</w:t>
      </w:r>
    </w:p>
    <w:p>
      <w:pPr>
        <w:pStyle w:val="Heading2"/>
      </w:pPr>
      <w:r>
        <w:t>Regeste</w:t>
      </w:r>
    </w:p>
    <w:p>
      <w:r>
        <w:t>Regeste Art. 21, 22, 139 StGB. Der Tatbestand des Raubes ist selbst dann gegeben, wenn das Opfer nicht während der ganzen Dauer des Angriffs zum Widerstand unfähig gemacht wurde. Die Frage, ob der Raub vollendet werden kann, wenn der Widerstand des Opfers nicht völlig gebrochen wurde, bleibt offen (Erw. 1). Art. 139 Abs. 1 und 2 StGB. Die blosse Tatsache der Gewalt, der Drohung oder des zum Widerstand unfähig Machens lässt für sich allein den Schluss auf besondere Gefährlichkeit des Täters nicht zu, doch heisst das nicht, dass die den Raub auszeichnenden Umstände nicht in der Art und Weise, wie der Täter die Gewalt verübt, wie er jemanden mit einer gegenwärtigen Gefahr für Leib und Leben bedroht oder wie er das Opfer zum Widerstand unfähig macht, gesehen werden dürfen (Erw. 2).</w:t>
      </w:r>
    </w:p>
    <w:p>
      <w:r>
        <w:t>Regeste Art. 21, 22, 139 CP: Le crime de brigandage est réalisé même si la victime n'a pas été rendue incapable de résister pendant toute la durée de l'agression. La question de savoir si le crime peut être consommé lorsque la résistance de la victime n'a pas été complètement annihilée demeure indécise (consid. 1). Art. 139 al. 1 et 2 CP: Les seules circonstances de la violence, de la menace ou de la mise hors d'état de résister ne permettent pas à elles seules de conclure à un caractère particulièrement dangereux, mais cela ne signifie pas qu'on ne puisse pas voir de circonstance aggravante dans la façon dont l'auteur a agi, dont il a menacé autrui et dans les moyens dont il s'est servi pour mettre la victime hors d'état de résister (consid. 2).</w:t>
      </w:r>
    </w:p>
    <w:p>
      <w:r>
        <w:t>Regesto Art. 21, 22 e 139 CP. La fattispecie della rapina è adempiuta anche se la vittima non è stata resa incapace di opporre resistanza per tutta la durata dell'aggressione. Resta aperta la questione di stabilire se detto crimine può essere consumato anche nel caso in cui la resistenza della vittima non è stata completamente annullata (consid. 1). Art. 139 cpv. 1 e 2 CP: Le circostanze dell'uso di violenza o minacce o dell'aver reso la vittima incapace di resistenza non consentono da sole di concludere al carattere particolarmente pericoloso dell'autore, ma ciò non impedisce di tener conto di tali circostanze come aggravanti per il modo come l'autore ha agito e minacciato e per i mezzi di cui si è servito per rendere la vittima incapace di resistenza (consid. 2).</w:t>
      </w:r>
    </w:p>
    <w:p>
      <w:pPr>
        <w:pStyle w:val="Heading2"/>
      </w:pPr>
      <w:r>
        <w:t>Erwägungen</w:t>
      </w:r>
    </w:p>
    <w:p>
      <w:r>
        <w:rPr>
          <w:b/>
        </w:rPr>
        <w:t>E. 1</w:t>
      </w:r>
    </w:p>
    <w:p>
      <w:r>
        <w:t>a) Le recourant soutient qu'il aurait dû être condamné pour tentative de brigandage (art. 21 CP) et non pour délit manqué (art. 22). Selon lui, les juges de première instance ont admis que si dame Henry a été à la merci des deux auteurs pendant une vingtaine de minutes, "sa volonté de résistance n'a pas été annihilée". La victime n'aurait dès lors pas été hors d'état de résister, ainsi qu'elle l'a démontré en refusant à la fois de donner de l'argent et d'accompagner le recourant à BGE 100 IV 161 S. 164 l'étage. Se référant à la doctrine, le recourant fait valoir qu'il n'y a que tentative et non crime manqué ou délit consommé si la victime s'est défendue ou si, de toute autre manière, elle a résisté de façon à faire échouer l'attaque. b) Il y a brigandage, au sens de l'art. 139 CP, lorsque la violence ou la menace est exercée dans le dessein de commettre un vol. Le brigandage apparaît donc comme une contrainte exercée pour imposer un vol ou des actes tendant à un vol (RO 83 IV 68), et il peut y avoir brigandage consommé alors même que le vol envisagé n'a pas pu être réalisé (cf. RO 71 IV 122). On peut hésiter sur le point de savoir si le crime de brigandage, de même que ceux réprimés aux art. 187 et 188 CP, ne peut être consommé que si la victime a été mise complètement hors d'état de résister (cf. RO 71 IV 122, 75 IV 115, 78 IV 232, 81 IV 224 et 98 IV 99), mais cette question n'a pas à être tranchée en l'occurrence. En effet, c'est en vain que le recourant soutient que sa victime, dame Henry, n'aurait pas été incapable de résister. Il ressort des faits que durant près de vingt minutes dame Henry a été sans cesse maintenue par le recourant, le bras tordu et sous la menace d'un couteau. L'incapacité de résistance, durant ce laps de temps, a été totale, de telle sorte que cet élément constitutif de l'art. 139 CP est pleinement réalisé. Il ne saurait y avoir tentative ou délit manqué que si l'auteur ne parvient pas à annihiler ou à briser la résistance de sa victime (cf. GERBER, RPS 90 (1974), p. 146). Le fait que, comme l'ont admis les juges de première instance, la volonté de résistance de dame Henry n'a pas été annihilée n'empêche pas et n'a pas empêché que la résistance de la victime a été supprimée durant un certain temps; la volonté de résister, par exemple dès que pourrait se présenter une occasion favorable, peut parfaitement exister chez des personnes mises matériellement hors d'état de résister. Il importe peu que par la suite, dès que Passavanti a manifesté son désarroi après avoir entendu dame Henry lui dire qu'il n'y avait pas d'argent, la victime ait pu exercer une certaine résistance en ne se pliant pas à toutes les exigences de l'auteur. Il peut arriver, dans une agression, qu'à un moment ou à un autre la victime puisse reprendre une certaine liberté d'action; il en est d'ailleurs nécessairement ainsi lorsque BGE 100 IV 161 S. 165 l'attaque prend fin. Il n'en résulte évidemment pas que le crime de brigandage n'a pas été consommé, puisqu'il ne dépend pas de l'existence d'une soustraction mobilière, mais seulement du dessein de la commettre; il n'est enfin nullement nécessaire que la victime demeure incapable de résister aussi longtemps que l'auteur ne met pas volontairement un terme à ses menaces ou à ses violences. C'est donc à juste titre que l'arrêt attaqué a refusé d'admettre que le recourant s'était seulement rendu coupable d'une tentative de brigandage.</w:t>
      </w:r>
    </w:p>
    <w:p>
      <w:r>
        <w:rPr>
          <w:b/>
        </w:rPr>
        <w:t>E. 2</w:t>
      </w:r>
    </w:p>
    <w:p>
      <w:r>
        <w:t>a) Le recourant conteste par ailleurs que l'on puisse le taxer d'auteur particulièrement dangereux. Il fait valoir qu'une telle qualification ne pourrait être fondée que sur des circonstances indépendantes de celles qui entraînent l'application de l'art. 139 ch. 1 et de l'art. 139 ch. 2 al. 1 à 3. Il se prévaut également des bons antécédents qui lui ont été reconnus. b) La jurisprudence du Tribunal fédéral a posé que l'auteur d'un vol ou d'un brigandage devait être considéré comme particulièrement dangereux, au sens des art. 137 ch. 2 al. 4 et 139 ch. 2 al. 4 CP, si sa manière de procéder fait ressortir des traits de caractère permettant de conclure à une attitude foncièrement asociale et à une absence de scrupules telles qu'il y a lieu de redouter que, dans d'autres occasions, il ne reculera pas devant des infractions analogues ou semblables (RO 98 IV 145). Le caractère particulièrement dangereux peut ressortir de plusieurs éléments conjugués (RO 88 IV 61). Il sera donc le cas échéant déduit non seulement des actes d'exécution, mais aussi des actes préparatoires, de l'attitude du délinquant immédiatement après la commission du crime, dans la mesure où elle est en rapport avec ce dernier (RO 77 IV 159), voire des mobiles, des antécédents ou de tout ce qui peut fournir sur la personnalité de l'auteur des renseignements valables (RO 95 IV 165 consid. 1). Le juge n'en reste pas moins libre, dans les limites de son pouvoir appréciateur, d'estimer que la manière de procéder de l'auteur suffit à le qualifier de dangereux. Certes, les seules circonstances de la violence, de la menace ou de la mise hors d'état de résister, prévues à l'art. 139 ch. 1 CP, ne permettent pas à elles seules de qualifier un auteur de particulièrement dangereux, sans quoi le délit simple de brigandage n'existerait pas. C'est pourquoi l'application du BGE 100 IV 161 S. 166 chiffre 2, et notamment de son al. 4, exige quelque chose de particulier. Mais, comme l'a depuis longtemps précisé la jurisprudence, cela ne signifie pas qu'on ne puisse pas voir de circonstance aggravante dans la façon dont l'auteur a agi, dans les procédés qu'il a utilisés pour exercer des violences, dans la manière dont il a menacé une personne d'un danger imminent pour la vie ou l'intégrité corporelle ou encore dans les moyens dont il s'est servi pour mettre sa victime hors d'état de résister (RO 77 IV 158). D'ailleurs, la forme générale du texte légal laisse au juge un large pouvoir d'appréciation (GERBER, RPS 90 (1974) p. 132). c) En l'espèce, la façon dont le recourant a agi démontre amplement son caractère particulièrement dangereux, même si rien dans ses antécédents ne vient corroborer cette appréciation. Cette qualification résulte de la brutalité dont il a fait preuve pour maîtriser et menacer sa victime, des lésions qui en sont résultées, de l'usage d'une arme, de l'emploi de cagoules et de l'absence totale de scrupules en face de trois enfants en bas âge terrorisés et hurlants. Enfin, la façon de faire taire l'un des enfants, puis l'ordre donné de l'emmener dans une autre pièce pour simuler une prise d'otage. Ces circonstances permettent non seulement de constater que le recourant a très largement dépassé les bornes des éléments définis à l'art. 139 ch. 1 CP, mais encore de conclure sans hésitation à une attitude foncièrement asociale et à une absence de scrupules telles qu'il y aurait lieu, si son arrestation n'était pas intervenue, de redouter que dans d'autres occasions il ne recule pas devant des infractions analogues ou semblables. Le fait qu'après s'être entendu dire qu'il n'y avait pas d'argent le recourant n'ait pas encore aggravé la situation en commettant d'autres actes délictueux ou en redoublant de brutalité n'enlève évidemment rien au caractère dangereux révélé et manifesté par l'acte de brigandage réalisé. Le pourvoi est donc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