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146</w:t>
      </w:r>
    </w:p>
    <w:p>
      <w:r>
        <w:t>Bundesgericht (BGE), 1974-01-01, FR</w:t>
      </w:r>
    </w:p>
    <w:p>
      <w:r>
        <w:rPr>
          <w:b/>
        </w:rPr>
        <w:t xml:space="preserve">Quelle: </w:t>
      </w:r>
      <w:r>
        <w:t>https://mcp.opencaselaw.ch/entscheid/bge_BGE_100_IV_146</w:t>
      </w:r>
    </w:p>
    <w:p>
      <w:r>
        <w:t>FR: ATF 100 IV 146</w:t>
      </w:r>
    </w:p>
    <w:p>
      <w:r>
        <w:t>IT: DTF 100 IV 146</w:t>
      </w:r>
    </w:p>
    <w:p>
      <w:pPr>
        <w:pStyle w:val="Heading2"/>
      </w:pPr>
      <w:r>
        <w:t>Regeste</w:t>
      </w:r>
    </w:p>
    <w:p>
      <w:r>
        <w:t>Regeste Art. 68 Ziff. 1, 112 und 139 StGB. Nichts hindert, eine vorsätzliche Tötung in Diebstahlsabsicht als Mord und qualifizierten Raub in Idealkonkurrenz zu subsumieren, obschon der Begriff beider Verbrechen die besondere Gefährlichkeit des Täters und die Verletzung der körperlichen Integrität enthält. Doppelte Bestrafung wegen desselben Verhaltens vermeidet der Richter durch entsprechende Bemessung der Strafe.</w:t>
      </w:r>
    </w:p>
    <w:p>
      <w:r>
        <w:t>Regeste Art. 68 ch. 1, 112 et 139 CP: Il n'y a aucune objection à qualifier un meurtre prémédité dans le dessein de voler, à la fois d'assassinat et de brigandage qualifié, en concours idéal, bien que le caractère particulièrement dangereux de l'auteur et l'atteinte à l'intégrité corporelle rentrent dans la définition des deux infractions. C'est en fixant la quotité de la peine que le juge évitera de réprimer deux fois le même comportement (consid. 3).</w:t>
      </w:r>
    </w:p>
    <w:p>
      <w:r>
        <w:t>Regesto Art. 68 num. 1, 112 e 139 CP: Un omicidio premeditato a scopo di furto può senz'altro essere giudicato come assassinio e brigandaggio qualificato, in concorso ideale, benchè il carattere particolarmentepericoloso dell'autore e la lesione dell'integrità corporale costituiscano elementi comuni ai due reati. Il giudice deve evitare la doppia repressione del medesimo atto, tenendone conto nella determinazione della pena.</w:t>
      </w:r>
    </w:p>
    <w:p>
      <w:pPr>
        <w:pStyle w:val="Heading2"/>
      </w:pPr>
      <w:r>
        <w:t>Erwägungen</w:t>
      </w:r>
    </w:p>
    <w:p>
      <w:r>
        <w:rPr>
          <w:b/>
        </w:rPr>
        <w:t>E. 1</w:t>
      </w:r>
    </w:p>
    <w:p>
      <w:r>
        <w:t>En soutenant qu'il n'a pas tué pour voler, le recourant se heurte aux constatations de fait du jugement attaqué, qui retient clairement qu'il a égorgé sa victime dans l'intention de commettre un vol. Ce grief est donc irrecevable, conformément aux art. 273 al. 1 litt. b et 277 bis PPF. Il en est de même des moyens qui tendent à revenir sur l'une ou l'autre des diverses versions de fait que le recourant a tenté de soutenir en première instance et qui ont été expressément écartées par la Cour d'assises.</w:t>
      </w:r>
    </w:p>
    <w:p>
      <w:r>
        <w:rPr>
          <w:b/>
        </w:rPr>
        <w:t>E. 2</w:t>
      </w:r>
    </w:p>
    <w:p>
      <w:r>
        <w:t>Aucun des éléments de fait admis souverainement par les premiers juges ne permet de retenir qu'au moment d'agir le recourant était en proie à une émotion violente que les circonstances rendaient excusable. Il ne saurait dès lors être question de meurtre par passion, puisque les éléments constitutifs de cette infraction font totalement défaut. C'est en outre à bon droit que la Cour d'assises a retenu l'assassinat (art. 112 CP) et admis que le recourant a agi dans des circonstances dénotant qu'il était particulièrement pervers et dangereux. Ces circonstances sont en effet réalisées d'une part par le mobile que constituait le vol, et d'autre part par la façon dont le recourant a agi pour attirer sa victime près de lui puis pour la tuer froidement, sournoisement et sans hésitation.</w:t>
      </w:r>
    </w:p>
    <w:p>
      <w:r>
        <w:rPr>
          <w:b/>
        </w:rPr>
        <w:t>E. 3</w:t>
      </w:r>
    </w:p>
    <w:p>
      <w:r>
        <w:t>Le recourant reproche enfin à la Cour cantonale d'avoir retenu à sa charge à la fois la qualification d'assassinat (art. 112 CP) et celle de brigandage (art. 139 CP). Cette double imputation est conforme à l'opinion de la doctrine suisse, qui admet de manière concordante que dans ce cas particulier d'homicide (Raubmord) il y a concours idéal entre les art. 112 et 139 CP lorsque, comme c'est le cas en l'espèce, l'auteur a d'avance décidé de tuer sa victime pour commettre un vol (HERTLI, Der Tatbestand des Raubes, p. 68 ss.; THORMANN/VON OVERBECK, ad art. 139 n. 18; GERMANN, Das Verbrechen, p. 265 ad art. 139 n. 7; HAFTER, I, p. 254 rem. 3; LOGOZ, ad art. 139 n. 7a, p. 117; MAEDER, Der Raub nach schweiz. StGB, p. 91; SCHWANDER, p. 153 no 320 et p. 333 no 542 ch. 3; STRATENWERTH, I, p. 200; GERBER, Rechtliche Probleme beim Raub, ZStR 1974, p. 153). BGE 100 IV 146 S. 149 La doctrine des grands pays voisins n'aboutit pas à une solution différente, et cela même lorsqu'il entre dans la définition de l'assassinat des éléments tels que le fait d'agir par cupidité (Allemagne § 211) ou pour rendre possible une autre infraction (Allemagne, § 211; Italie, art. 375 ch. 1 en corrélation avec l'art. 61 ch. 2 CP; France, art. 304 CP). Dans ces pays, en effet, l'existence d'un concours idéal est admise entre l'assassinat et le brigandage, ce qui entraîne sans autre la double imputation (Allemagne: BGH vol. 9 p. 135; MAURACH, Deutsches Strafrecht, partie spéciale, § 98 et 99; SCHÖNKE/SCHRÖDER, § 249 n. 16, § 251 n. 7; Leipziger Kommentar (Baldus), § 251 n. 13. Italie: ANTOLISEI, partie spéciale, tome I, 4e éd. 1960, n. 61, p. 279; Nuovissimo Digesto Italiano (ZAGREBESKY), tome 16 "Rapina", p. 776 n. 8; SALTELLI/ROMANI DI FALCO, vol. 4 p. 458 n. 1272. France: GOYET, 8e éd. 1972, p. 413 s., no 602, lit. c et d, p. 659, n. 941 lit. i; GARÇON, tome II, art. 304, n. 42, 50). Il n'est d'ailleurs pas discutable que l'on se trouve ici en présence d'un concours idéal, puisque l'art. 112 CP ne réprime pas expressément l'atteinte à la propriété et que l'art. 139 CP n'envisage pas l'hypothèse de l'homicide prémédité (cf. ch. 2 al. 4). Il reste cependant que certains éléments de la définition des deux infractions sont identiques, telles la circonstance dénotant que l'auteur est particulièrement dangereux et l'atteinte à l'intégrité corporelle. On pourrait dès lors songer, par équité, à prendre en considération d'autres concours, par exemple l'assassinat et le vol, ou le brigandage et le meurtre. Les actes reprochés au recourant s'accommodent toutefois mal d'une qualification, même partielle, de meurtre ou de vol. Par ailleurs, le but de la législation pénale est d'assurer non pas la juste addition des éléments de la ou des infractions en cause, mais bien la répression globale et équitable de l'ensemble du ou des comportements illicites. C'est pourquoi l'inconvénient de la double prise en considération de certains éléments des infractions en présence ne doit pas être corrigé au stade de la qualification, mais à celui de la fixation de la peine. La liberté d'appréciation qui est accordée au juge dans ce domaine par les art. 63 ss. et plus particulièrement in casu par l'art. 68 ch. 1 CP le permet aisément. C'est la seule façon de résoudre sans complications inutiles les nombreux cas où, dans un concours idéal, certains éléments du comportement BGE 100 IV 146 S. 150 délictueux entrent nécessairement dans la définition de plusieurs dispositions pénales, ainsi en matière de vol avec effraction et de dommage à la propriété, ou encore d'escroquerie et d'usage de faux, lorsque le titre falsifié constitue l'élément d'astuce. Le grief est donc mal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