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117</w:t>
      </w:r>
    </w:p>
    <w:p>
      <w:r>
        <w:t>Bundesgericht (BGE), 1974-01-01, FR</w:t>
      </w:r>
    </w:p>
    <w:p>
      <w:r>
        <w:rPr>
          <w:b/>
        </w:rPr>
        <w:t xml:space="preserve">Quelle: </w:t>
      </w:r>
      <w:r>
        <w:t>https://mcp.opencaselaw.ch/entscheid/bge_BGE_100_IV_117</w:t>
      </w:r>
    </w:p>
    <w:p>
      <w:r>
        <w:t>FR: ATF 100 IV 117</w:t>
      </w:r>
    </w:p>
    <w:p>
      <w:r>
        <w:t>IT: DTF 100 IV 117</w:t>
      </w:r>
    </w:p>
    <w:p>
      <w:pPr>
        <w:pStyle w:val="Heading2"/>
      </w:pPr>
      <w:r>
        <w:t>Regeste</w:t>
      </w:r>
    </w:p>
    <w:p>
      <w:r>
        <w:t>Regeste Bundesgesetz vom 25. Juni 1885 betreffend Beaufsichtigung von Privatunternehmungen im Gebiete des Versicherungswesens 1. Der Aufsicht des Bundes unterliegen auch die auf dem Gebiet der Rückversicherung tätigen Versicherungsunternehmungen (Erw. 1). 2. Art. 8 und 11 Abs. 1 Ziff. 2 VAG. Die der Aufsichtsbehörde über die Geschäftsverhältnisse der Versicherungsunternehmung zu gebenden Aufschlüsse sind auf Grund der Unterlagen zu erteilen, welche die Geschäftsleitung im Zeitpunkt der Anforderung besitzt (Erw. 2 und 3).</w:t>
      </w:r>
    </w:p>
    <w:p>
      <w:r>
        <w:t>Regeste Surveillance des entreprises privées en matière d'assurance 1. Les compagnies de réassurances opérant en Suisse sont soumises à la loi du 25 juin 1885 concernant la surveillance des entreprises privées en matière d'assurance (LSA) (consid. 1). 2. Art. 8 et 11 al. 1 ch. 2 LSA. Les renseignements qui doivent être donnés à l'autorité de surveillance, sous peine de sanctions, sont ceux dont dispose l'administrationde l'entreprise au moment où elle est requise de les fournir (consid. 2 et 3).</w:t>
      </w:r>
    </w:p>
    <w:p>
      <w:r>
        <w:t>Regesto Vigilanza sulle imprese private di assicurazione 1. La LF 25 giugno 1885 sulla sorveglianza delle imprese private in materia di assicurazione è applicabile anche alle compagnie di riassicurazione operanti in Svizzera (consid. 1). 2. Art. 8 e 11 cpv. 1 num. 2 LF. L'amministrazione dell'impresa deve fornire all'autorità di vigilanza, sotto pena di sanzione, tutte le infor.mazioni di cui dispone nel momento in cui ne è richiesta (consid. 2 e 3).</w:t>
      </w:r>
    </w:p>
    <w:p>
      <w:pPr>
        <w:pStyle w:val="Heading2"/>
      </w:pPr>
      <w:r>
        <w:t>Erwägungen</w:t>
      </w:r>
    </w:p>
    <w:p>
      <w:r>
        <w:rPr>
          <w:b/>
        </w:rPr>
        <w:t>E. 1</w:t>
      </w:r>
    </w:p>
    <w:p>
      <w:r>
        <w:t>Les compagnies de réassurances opérant en Suisse sont soumises à la loi du 25 juin 1885 concernant la surveillance des entreprises privées en matière d'assurance (LSA). La réassurance comprend en effet tous les éléments essentiels de la notion d'assurance tels que définis par la doctrine et la jurisprudence (cf. RO 76 I 368 ; 58 I 259 ); il s'agit d'une assurance contre les dommages (RO 91 I 379), soumise sans restriction à la loi du 25 juin 1885. Tel est d'ailleurs l'avis de la doctrine, qui a toujours admis, expressément ou implicitement, que les compagnies pratiquant la réassurance ne font pas exception à la règle générale de la surveillance (HAYMANN, La surveillance des sociétés d'assurances en Suisse, p. 49; DIEHL, Die Rechnungslegung der privaten Versicherungs-Unternehmungen unter Berücksichtigung der staatlichen Aufsicht, p. 129 ss.; WYRSCH, Die schweizerische Staatsaufsicht über die Rückversicherung).</w:t>
      </w:r>
    </w:p>
    <w:p>
      <w:r>
        <w:rPr>
          <w:b/>
        </w:rPr>
        <w:t>E. 2</w:t>
      </w:r>
    </w:p>
    <w:p>
      <w:r>
        <w:t>a) L'art. 11 al. 1 ch. 2 LSA prévoit que sont punis de l'amende jusqu'à 5000 fr. ou de l'emprisonnement jusqu'à 6 mois les dire'cteurs, mandataires généraux et agents responsables d'une entreprise d'assurance qui, dans les exposés, documents à l'appui ou informations qu'ils sont tenus de fournir BGE 100 IV 117 S. 121 au Conseil fédéral, exposent faussement ou cachent la situation d'affaires de l'entreprise, et ceux qui publient des communications contraires à la vérité. A côté des renseignements précis qu'elles doivent fournir en vertu des art. 4 à 7 LSA, les entreprises d'assurances doivent en outre, à réquisition, donner d'ultérieures informations au Conseil fédéral sur toutes les branches de l'administration (art. 8 LSA). Le Conseil fédéral a confié l'exercice de cette surveillance au Bureau fédéral des assurances (BFA) par son arrêté du 17 novembre 1914 donnant aux départements et aux services qui en dépendent la compétence de régler certaines affaires (art. 20), et en vertu de l'art. 31 ch. IV de la loi du 26 mars 1914 sur l'organisation de l'administration fédérale. b) Le recourant fait valoir d'une part que la Cour de justice a fait une fausse application de l'art. 11 al. 1 ch. 2 LSA en lui reprochant d'avoir omis volontairement de mentionner certains renseignements dans le rapport d'exploitation transmis au BFA le 25 juillet 1966, et d'autre part en ne retenant pas la prescription au cas où cette omission aurait été punissable. c) Cette dernière critique est dénuée de tout fondement, car il ressort de l'arrêt attaqué que la Cour de justice n'a pas retenu à la charge du recourant les omissions que pouvait contenir le rapport du 25 juillet 1966 et qu'elle n'a pas perdu de vue que les actes ou omissions liés à ce rapport pouvaient être touchés par la prescription. Ce que la Cour de justice a retenu contre le recourant est le fait qu'il n'a pas fourni au BFA les indications qui convenaient sur la situation de sa compagnie, notamment le 18 octobre 1966 lorsqu'il a été reçu à Berne par les dirigeants du BFA et alors que le but de l'entrevue était d'orienter ceux-ci sur la marche des affaires en général. Dès lors la prescription, régulièrement interrompue par la poursuite pénale et portée à sept ans et demi en vertu de l'art. 72 ch. 2 al. 2 CP, soit au 18 avril 1974, n'était pas encore acquise le 11 avril 1974, date de l'arrêt cantonal. Et le pourvoi en nullité n'a pas fait reprendre son cours à la prescription, contrairement à ce que laisse entendre le recourant (RO 91 IV 145; 92 IV 173 ; 96 IV 52 ). d) Quant au fond, c'est en vain que le recourant soutient qu'il n'a pas agi intentionnellement en n'informant pas le BFA du contenu du rapport Guise et de la situation qu'il BGE 100 IV 117 S. 122 révélait. Il se heurte à cet égard à l'état de fait de l'arrêt, qui retient que ce n'est pas par négligence qu'il n'a pas renseigné le BFA, mais que c'est précisément parce qu'il ne voulait pas que le BFA fût informé du contenu du rapport Guise qu'il n'a même pas informé le conseil d'administration de la compagnie. Une telle constatation sur la conscience et la volonté du recourant est une constatation de fait qui lie la Cour de cassation et ne peut pas être attaquée dans un pourvoi en nullité (art. 273 al. 1 litt. b et 277bis al. 1 PPF; RO 98 IV 66, 259; 90 IV 78 , 120). A partir, en tout cas, du moment où le BFA a demandé à la direction de la compagnie des renseignements complémentaires par la lettre du 23 août 1966, le recourant avait l'obligation de fournir les renseignements qu'il détenait sur la situation de la compagnie. S'il a pu éventuellement ne pas porter à la connaissance du BFA le contenu des rapports Guise en raison de doutes qu'il pouvait avoir quant à son exactitude, il ne pouvait plus le cacher au BFA dès lors que le 12 octobre 1966 l'expertise Fluckiger/Schelling décidée par lui-même en avait confirmé les conclusions devant le conseil de direction. En vertu de l'art. 8 LSA, le recourant avait l'obligation, lors de l'entrevue du 18 octobre 1966, de renseigner le BFA sur les éléments révélés par ces rapports et cette expertise à propos de la marche des affaires et de la situation de l'entreprise, puisque tel était précisément le but de la rencontre. Le recourant a donc caché dans un exposé et des informations qu'il était tenu de fournir au BFA la situation d'affaires de l'entreprise dont il était directeur; ayant agi de la sorte avec conscience et volonté, il a contrevenu à l'art. 11 al. 1 ch. 2 LSA et c'est à juste titre qu'il a été condamné.</w:t>
      </w:r>
    </w:p>
    <w:p>
      <w:r>
        <w:rPr>
          <w:b/>
        </w:rPr>
        <w:t>E. 3</w:t>
      </w:r>
    </w:p>
    <w:p>
      <w:r>
        <w:t>a) Etant donné le but de la surveillance instaurée par la LSA, qui est de renseigner l'autorité compétente sur la situation réelle des entreprises privées d'assurances en lui fournissant tous les éléments devant lui permettre d'apprécier la situation, le respect des règles du code des obligations sur les sociétés anonymes ne suffit pas pour que soient forcément respectées les exigences posées par la LSA, dont les dispositions spéciales l'emportent sur les dispositions plus générales du CO. C'est donc en vain que le recourant invoque l'éventuelle conformité de sa manière d'agir avec l'art. 663 CO. b) C'est également à tort que le recourant invoque une BGE 100 IV 117 S. 123 erreur de droit, étant donné qu'aucun élément de l'état de fait ne fait ressortir qu'il aurait eu des raisons suffisantes de se croire en droit d'agir comme il l'a fait. c) Quant à la prétendue exactitude de toutes les données fournies par ailleurs au BFA, elle n'exclut en rien ni n'excuse l'omission fautive commise par le recourant, dans la mesure où l'appréciation de la situation ne pouvait être effectuée que sur la base des données et des informations complémentaires expressément requises. d) Enfin, le fait que certaines des prévisions ou estimations de risques contenues dans les rapports cachés au BFA aient pu se révéler trop pessimistes par la suite est dénué de toute pertinence. Ce qui importe, ce sont les données et les renseignements dont disposaient le recourant et la direction en 1966 et non pas ceux que les événements ont confirmés ou infirmés au cours des années suivantes. C'est donc à juste titre que la Cour de justice a relevé qu'il ne lui appartenait pas de se déterminer sur des chiffres exacts quant au déficit technique apparu dans l'entreprise ou au montant de ses réserves ouvertes ou latentes, mais seulement sur la question de savoir si le recourant s'est conformé à son obligation de fournir au BFA les renseignements dont il disposait sur la situation de l'entreprise. La Cour de justice a correctement apprécié le comportement du recourant quant à cette obligation de renseignements et elle a fait une juste application de la LSA.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