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49</w:t>
      </w:r>
    </w:p>
    <w:p>
      <w:r>
        <w:t>Bundesgericht (BGE), 1974-01-01, DE</w:t>
      </w:r>
    </w:p>
    <w:p>
      <w:r>
        <w:rPr>
          <w:b/>
        </w:rPr>
        <w:t xml:space="preserve">Quelle: </w:t>
      </w:r>
      <w:r>
        <w:t>https://mcp.opencaselaw.ch/entscheid/bge_BGE_100_II_49</w:t>
      </w:r>
    </w:p>
    <w:p>
      <w:r>
        <w:t>FR: ATF 100 II 49</w:t>
      </w:r>
    </w:p>
    <w:p>
      <w:r>
        <w:t>IT: DTF 100 II 49</w:t>
      </w:r>
    </w:p>
    <w:p>
      <w:pPr>
        <w:pStyle w:val="Heading2"/>
      </w:pPr>
      <w:r>
        <w:t>Regeste</w:t>
      </w:r>
    </w:p>
    <w:p>
      <w:r>
        <w:t>Regeste Art. 58 Abs. 1 und 2 SVG. Der Halter eines Motorfahrzeuges, das sich nicht in Betrieb befindet, aber durch den Betrieb eines andern geschädigt wird, kann nach Art. 58 Abs. 1 Ersatz verlangen, wenn ihm nach Abs. 2 nichts vorzuwerfen ist.</w:t>
      </w:r>
    </w:p>
    <w:p>
      <w:r>
        <w:t>Regeste Art. 58 al. 1 et 2 LCR. Le détenteur d'un véhicule automobile qui n'est pas à l'emploi, mais qui est endommagé par l'emploi d'un autre véhicule, peut demander réparation de ce dommage selon l'art. 58 al. 1 s'il n'a rien à se reprocher selon l'art. 58 al. 2.</w:t>
      </w:r>
    </w:p>
    <w:p>
      <w:r>
        <w:t>Regesto Art. 58 cpv. 1 e 2 L CStr. Il detentore di un autoveicolo non in esercizio e che sia stato nondimeno danneggiato dall'uso di un altro autoveicolo, può esigere il risarcimento del danno a'sensi dell'art. 58 cpv. 1, ritenuto che non gli incomba responsabilità secondo il cpv. 2.</w:t>
      </w:r>
    </w:p>
    <w:p>
      <w:pPr>
        <w:pStyle w:val="Heading2"/>
      </w:pPr>
      <w:r>
        <w:t>Erwägungen</w:t>
      </w:r>
    </w:p>
    <w:p>
      <w:r>
        <w:rPr>
          <w:b/>
        </w:rPr>
        <w:t>E. 1</w:t>
      </w:r>
    </w:p>
    <w:p>
      <w:r>
        <w:t>Der Beschwerdeführer machte schon in der Klageschrift geltend, dass sein Taxi in der Bucht vor dem Hotel Bellerive stillstand, als es von hinten gerammt wurde. Das ergibt sich auch aus dem Polizeibericht. In der Verhandlung vom 12. November 1971 hielt ihm der Bezirksrichter vor, gemäss Art. 61 Abs. 2 SVG habe er zu beweisen, dass der Zusammenstoss durch. Verschulden der Doris Good verursacht worden sei. Der Beschwerdeführer BGE 100 II 49 S. 51 hielt diese Bestimmung nicht für anwendbar und bestritt die ihm auferlegte Beweispflicht. Die gleiche Auffassung vertrat er in der Berufung an das Obergericht und in der Nichtigkeitsbeschwerde an das Kassationsgericht. Die kantonalen Instanzen liessen den Einwand des Beschwerdeführers jedoch nicht gelten. Das Kassationsgericht hielt ihm insbesondere entgegen, bei Sachschaden habe der geschädigte Halter zu beweisen, dass der Schaden durch Verschulden des andern Halters oder einer Person, für die dieser einzustehen habe, verursacht worden sei. Aus Art. 58 bis 60 SVG könne der Beschwerdeführer nichts zu seinen Gunsten ableiten, da der Schadenersatz zwischen Haltern in Art. 61 SVG geregelt werde. Dass die Beweislast anders zu verteilen sei, wenn ein stillstehendes Fahrzeug gerammt werde und dessen Halter Ersatz für Sachschaden verlange, sei dem Gesetz nicht zu entnehmen. Eine Haftung für Betriebsgefahr bestehe nach Art. 61 Abs. 2 SVG nicht.</w:t>
      </w:r>
    </w:p>
    <w:p>
      <w:r>
        <w:rPr>
          <w:b/>
        </w:rPr>
        <w:t>E. 2</w:t>
      </w:r>
    </w:p>
    <w:p>
      <w:r>
        <w:t>Diese Auffassung ist unhaltbar. Das Fahrzeug des Beschwerdeführers hat, wenn auch nur vorübergehend, ausserhalb der Fahrbahn in einer dafür vorgesehenen Bucht angehalten. Es befand sich zur Zeit des Anpralls ausser Betrieb. In BGE 97 II 166 Erw. c wurde sogar ein am rechten Strassenrand auf der Fahrbahn abgestellter Lastwagen als nicht "in Betrieb" befindlich bezeichnet. Ein Motorfahrzeug aber, das sich nicht in Betrieb befindet, schafft auch keine Betriebsgefahr. Sein Halter haftet gemäss Art. 58 Abs. 2 SVG nur, wenn der Geschädigte beweist, dass den Halter oder Personen, für die er verantwortlich ist, ein Verschulden trifft oder dass fehlerhafte Beschaffenheit des Motorfahrzeuges mitgewirkt hat. Die Bestimmung setzt also voraus, dass zur Zeit, als sich der Schaden ereignete, das Fahrzeug des belangten Halters ausser Betrieb, dasjenige des Ansprechers aber in Betrieb war. Nur für einen solchen Fall regelt das Gesetz in Art. 58 Abs. 2 die Voraussetzungen, unter denen ein Halter Ersatz des vom ihm selber erlittenen Sachschadens verlangen kann, ähnlich wie in Art. 61 Abs. 2. Anders verhält es sich dagegen, wenn sich das Fahrzeug des Ansprechers zur Zeit des Unfalles, wie das hier der Fall war, nicht in Betrieb befand. Diesfalls gilt Art. 58 Abs. 1 SVG , weshalb der Ansprecher weder ein Verschulden des belangten Halters oder des Schädigers noch eine fehlerhafte Beschaffenheit dessen Fahrzeuges nachzuweisen braucht; es ist vielmehr Sache BGE 100 II 49 S. 52 des beklagten Halters und seiner Haftpflichtversicherung, hier also der Beschwerdegegner, den in Art. 59 Abs. 1 SVG vorgesehenen Entlastungsbeweis anzutreten, wenn sie der Haftpflicht entgehen wollen (vgl. BUSSY, SJK Karte 916a S. 8 N. 20; BUSSY/RUSCONI, Code suisse de la circulation routière, S. 237 N. 2.3. zu Art. 61 SVG ; OFTINGER, Schweizerisches Haftpflicht recht II/2 S. 656 Ziff.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