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332</w:t>
      </w:r>
    </w:p>
    <w:p>
      <w:r>
        <w:t>Bundesgericht (BGE), 1974-01-01, FR</w:t>
      </w:r>
    </w:p>
    <w:p>
      <w:r>
        <w:rPr>
          <w:b/>
        </w:rPr>
        <w:t xml:space="preserve">Quelle: </w:t>
      </w:r>
      <w:r>
        <w:t>https://mcp.opencaselaw.ch/entscheid/bge_BGE_100_II_332</w:t>
      </w:r>
    </w:p>
    <w:p>
      <w:r>
        <w:t>FR: ATF 100 II 332</w:t>
      </w:r>
    </w:p>
    <w:p>
      <w:r>
        <w:t>IT: DTF 100 II 332</w:t>
      </w:r>
    </w:p>
    <w:p>
      <w:pPr>
        <w:pStyle w:val="Heading2"/>
      </w:pPr>
      <w:r>
        <w:t>Regeste</w:t>
      </w:r>
    </w:p>
    <w:p>
      <w:r>
        <w:t>Regeste Verjährung, Art. 60 Abs. 2 OR Ratio legis und Voraussetzungen zur Anwendung dieser Vorschrift (Erw. 2 a). Es genügt, dass die Handlung als solche strafbar ist und dem Urheber des Schadens zugeschrieben werden kann; es ist nicht nötig, dass dieser subjektiv strafbar ist (Erw. 2 b-d). Art. 43 und 44 OR Bestimmung der Entschädigung, wenn Kinder einen Schaden verursacht haben. Begriff des mittleren, weder leichten noch schweren Verschuldens (Erw. 3).</w:t>
      </w:r>
    </w:p>
    <w:p>
      <w:r>
        <w:t>Regeste Prescription, art. 60 al. 2 CO Ratio legis et conditions d'application de cette disposition (consid. 2 a). Il suffit que l'acte comme tel soit punissable et qu'il puisse être attribué à l'auteur du dommage; il n'est pas nécessaire que celui-ci soit subjectivement punissable (consid. 2 b-d). Art. 43 et 44 CO Fixation de l'indemnité, s'agissant d'un dommage causé par des enfants. Notion de la faute moyenne, ni légère ni grave (consid. 3).</w:t>
      </w:r>
    </w:p>
    <w:p>
      <w:r>
        <w:t>Regesto Prescrizione, Art. 60 cpv. 2 CO Ratio legis e condizioni per l'applicazione di questo disposto (consid. 2a). E'sufficiente che l'atto come tale sia punibile e che possa essere attribuito all'autore del danno; non è necessario che questi sia soggettivamente punibile (consid. 2 b-d). Art. 43 e 44 CO Fissazione dell'indennità, trattandosi di un danno causato da bambini. Nozione della colpa media, né lieve né grave (consid. 3).</w:t>
      </w:r>
    </w:p>
    <w:p>
      <w:pPr>
        <w:pStyle w:val="Heading2"/>
      </w:pPr>
      <w:r>
        <w:t>Erwägungen</w:t>
      </w:r>
    </w:p>
    <w:p>
      <w:r>
        <w:rPr>
          <w:b/>
        </w:rPr>
        <w:t>E. 2</w:t>
      </w:r>
    </w:p>
    <w:p>
      <w:r>
        <w:t>Appréciant l'exception de prescription des défendeurs au regard de l'art. 60 al. 2 CO, le Tribunal cantonal considère que, selon cette disposition, le juge civil est lié par la décision du juge pénal quant au caractère punissable de l'acte. Le juge des mineurs ayant expressément admis en l'espèce que les trois enfants avaient commis l'infraction de l'art. 222 CP, l'acte était punissable tant objectivement que subjectivement. Le délit d'incendie par négligence se prescrit par cinq ans. Cette prescription de plus longue durée s'applique à l'action civile et court du jour de la commission de l'acte. L'action du demandeur contre les auteurs de l'incendie du 28 juillet 1965 n'était donc pas prescrite le 5 mai 1970. Les recourants contestent ce point de vue. Tout en admettant la commission, objectivement, d'un incendie par négligence au sens de l'art. 222 CP, ainsi que la prescription quinquennale de ce délit, ils mettent en doute l'application de l'art. 60 al. 2 CO, s'agissant d'une répression aussi particulière que celle des enfants selon les art. 82 ss. CP. En l'espèce d'autre part, l'absence de sanctions pénales exclurait l'existence d'un "acte punissable" au sens de l'art. 60 al. 2 CO. La ratio legis voudrait que cette disposition ne soit pas appliquée, du moment que la décision du juge des mineurs a établi que les enfants n'étaient plus exposés à une mesure pénale. a) L'art. 60 al. 2 CO a pour but d'étendre la possibilité du lésé d'agir sur le plan civil contre l'auteur d'une infraction pénale. Cette disposition repose sur l'idée, généralement admise en doctrine et en jurisprudence, qu'il serait illogique que le lésé perde ses droits contre l'auteur responsable aussi longtemps que ce dernier demeure exposé à une poursuite BGE 100 II 332 S. 335 pénale généralement plus lourde de conséquences pour lui (RO 91 II 432 s. consid. 5 et les arrêts cités). L'enchaînement des deux alinéas de l'art. 60 CO révèle la volonté du législateur d'empécher que l'action civile ne se prescrive aussi longtemps que la prescription pénale n'est pas acquise (RO 77 II 319). L'application de l'art. 60 al. 2 ne suppose pas qu'une poursuite pénale ait été engagée (RO 93 II 500 et les arrêts cités), ni à plus forte raison qu'une condamnation ait été prononcée (RO 96 II 43 consid. 3 a). Il suffit que les dommagesintérêts dérivent d'un acte punissable et que le délai de prescription de l'action pénale soit plus long que celui de l'action civile (RO 93 II 500). A moins que le juge pénal n'ait prononcé une condamnation ou un acquittement (ou qu'il ait statué d'une autre manière sur l'existence de l'action publique), le juge civil décide librement si l'acte de l'auteur constitue une infraction à la loi pénale (RO 93 II 501). La prescription de l'art. 60 al. 2 CO est soumise, sauf en ce qui concerne le point de départ et la durée du délai, aux règles du droit privé, soit aux art. 127 ss. CO, faute de quoi le sort de la prétention du lésé serait exposé aux aléas de la poursuite pénale, sur laquelle celui-ci ne peut exercer aucune influence; peu importe dès lors quand et comment prend fin l'action pénale (RO 91 II 434 ss., 96 II 44 s., 97 II 138 s. consid. 2). b) L'art. 60 al. 2 CO suppose un acte objectivement punissable, crime, délit ou contravention (RO 60 II 35). Se fondant sur l'arrêt RO 44 II 176 ss., la doctrine dominante exige en outre que l'auteur de l'infraction soit subjectivement punissable (OSER/SCHÖNENBERGER, n. 15 ad art. 60 CO; GUHL/MERZ/KUMMER, Das schweizerische Obligationenrecht, p. 187; ENGEL, Traité des obligations en droit suisse, p. 388; VON BÜREN, Schweizerisches Obligationenrecht, Allgemeiner Teil, p. 427 ch. 5 et note 74; PÉTERMANN, La prescription des actions, Revue suisse d'assurances 1959/60, p. 362; GIRSBERGER, Die Verjährung der aus einer strafbaren Handlung hergeleiteten Zivilansprüche, RSJ 1962 p. 215; W. SCHWANDER, Die Verjährung ausservertraglicher und vertraglicher Schadenersatzforderungen, thèse Fribourg 1963, p. 26 s.). BECKER est cependant d'avis que l'existence de l'action publique ("öffentlich-rechtlicher Strafanspruch") suffit; il appartient au juge civil de rechercher si cette condition est réalisée, sauf en cas de jugement pénal définitif; dans cette hypothèse, le juge civil BGE 100 II 332 S. 336 peut toujours rechercher s'il existe un acte illicite, mais il est lié sur le point de savoir s'il est pénalement punissable (n. 3 ad art. 60 CO). VON TUHR/SIEGWART (I p. 375) paraissent laisser la question indécise. BÄR considère en revanche que l'action publique existe en principe contre tout délinquant, même s'il ne peut être puni en raison de son incapacité de discernement ou de son décès (Gedanken zur praktischen Anwendung der Strafrechtlichen Verjährungsfristen im Zivilprozess, RSJ 1965 p. 74). ROSSEL (Manuel du droit fédéral des obligations, 4e éd. 1920, p. 116) et FUNK (Handkommentar des Obligationenrechtes, n. 3 ad art. 60 CO) se prononcent dans le même sens. c) Cette dernière conception répond mieux à la ratio legis de l'art. 60 al. 2 CO, qui tend à favoriser le lésé victime d'une infraction pénale en le mettant au bénéfice d'un délai de prescription plus long. Cet avantage ne doit pas dépendre des aléas qu'implique la prise en considération de l'élément subjectif par le juge pénal. L'infraction objectivement établie à la charge d'une personne déclarée irresponsable à la suite d'une expertise psychiatrique, ou décédée avant sa condamnation, fait courir le délai de l'art. 60 al. 2 malgré l'extinction de l'action pénale. Le délai de prescription de cette action n'est pas modifié par la date à laquelle elle prend fin dans un cas d'espèce. Il suffit donc que l'acte comme tel soit punissable et qu'il puisse être attribué au défendeur à l'action civile. Peu importe que celui-ci soit subjectivement punissable. La prescription prolongée de l'art. 60 al. 2 CO est une institution du droit civil indépendante de la sanction pénale. La sécurité du droit commande que le lésé puisse benéficier des informations que seule l'enquête pénale peut souvent lui apporter, sans pour autant que sa prétention souffre des incertitudes de la poursuite pénale, liées à la culpabilité subjective de l'auteur de l'acte. d) En l'espéce, les trois recourants, âgés de neuf ans au moment de l'infraction, étaient soumis aux dispositions du code pénal (art. 82 al. 2, 83 ss. CP). Dans sa décision du 21 octobre 1965, le juge des mineurs constate de manière à lier le tribunal civil que "les prévenus ont ainsi commis le délit d'incendie par négligence au sens de l'art. 222 CP". Peu importe que le code pénal ne prévoie pour les enfants âgés de six à quatorze ans que des mesures éducatives, des traitements spéciaux ou une répression disciplinaire, voire la renonciation BGE 100 II 332 S. 337 à toute mesure aux conditions de l'art. 88 CP, et que le juge des mineurs ait fait application de cette disposition en l'espèce. Le délit d'incendie par négligence commis par les défendeurs étant soumis à la prescription quinquennale de l'art. 70 CP, cette prescription s'applique à l'action civile du demandeur selon l'art. 60 al. 2 CO. e) Sur le plan civil, le Tribunal cantonal constate souverainement, après avoir apprécié les preuves administrées, que les trois enfants pouvaient discerner le caractère dangereux de leur comportement. Il en conclut avec raison qu'ils ont commis une faute et doivent répondre de leur acte illicite. Les recourants ne discutent pas leur responsabilité solidaire. Même si l'un d'eux seul a lancé l'allumette fatale, ils ont agi de concert, animés d'une même volonté de pratiquer ensemble un jeu dangereux. Après avoir été morigénés, ils se sont soustraits sciemment à la surveillance des adultes. Leur désobéissance, constatée par l'autorité cantonale, procède d'un entraînement mutuel qui engage leur responsabilité civile solidaire selon l'art. 50 al. 1 CO. f) On ne saurait non plus considérer comme abusive l'intervention civile du lésé parce qu'il a introduit son action quelques semaines seulement avant l'expiration de la prescription pénale. Le déroulement des circonstances, et notamment l'établissement préalable du préjudice par la voie d'une expertise hors procès, expliquent et justifient ce retard. L'exception de prescription soulevée par les défendeurs doit dès lors être rejetée.</w:t>
      </w:r>
    </w:p>
    <w:p>
      <w:r>
        <w:rPr>
          <w:b/>
        </w:rPr>
        <w:t>E. 3</w:t>
      </w:r>
    </w:p>
    <w:p>
      <w:r>
        <w:t>Les recourants reprochent au Tribunal cantonal d'avoir refusé d'appliquer l'art. 43 CO, "en estimant que la faute des enfants n'était pas légère, autrement dit en considérant qu'elle était grave". Le jugement déféré serait sur ce point en contradiction avec la jurisprudence, qui aurait toujours tenu compte du facteur que représente le jeune âge. Ce facteur, ajouté à celui de la gêne des débiteurs, ne justifierait pas une responsabilité supérieure à 30%. a) Il est vrai que le Tribunal fédéral opère généralement une réduction sensible de l'obligation de réparer le dommage, lorsque le débiteur est un enfant. L'importance de la réduction dépend de la gravité de la faute et de l'âge du responsable (cf. notamment les arrêts RO 43 II 205, 67 II 49, 70 II 136, 82 II 25 et 90 II 9, cités dans les recours). BGE 100 II 332 S. 338 Les recourants se trompent lorsqu'ils affirment que le Tribunal cantonal a considéré leur faute comme grave. Ce point de vue est contredit par l'appréciation du jugement déféré selon laquelle la faute, sans être légère, "ne revêt... pas un caractère de gravité tel qu'il exclurait l'application de l'art. 44 al. 2 CO". Avec raison, la Cour civile vaudoise s'écarte ainsi implicitement de la division bipartite des fautes, fréquemment présentée en doctrine, qui assimile toute faute non légère à une faute grave. Une telle division heurte l'expérience de la vie qui fait couramment apparaître des fautes "moyennes" ni graves ni légères. Le fait que certains textes légaux attachent des conséquences juridiques à la gravité ou à la légèreté de la faute ne signifie nullement qu'il ne puisse y avoir de fautes intermédiaires. En l'espèce, les recourants perdent totalement de vue que les dommages-intérêts auxquels ils ont été condamnés ne représentent qu'une part minime du préjudice qu'ils ont causé, part nettement inférieure á celle de 30% qu'ils admettent eux-mêmes. Le dommage total du demandeur excède 96000 fr. Condamnés par le jugement déféré à payer 12375 fr. en capital, les défendeurs ne sont appelés à couvrir qu'environ 1/8 de ce dommage. Ils ne sauraient en effet bénéficier des indemnités versées par l'Etablissement cantonal d'assurance-incendie à son assuré, en contrepartie des primes versées par celui-ci. Le dossier ne révèle aucun indice d'une intention de l'établissement d'assurance d'exercer une action récursoire contre les auteurs du dommage, action qui serait d'ailleurs prescrite. Les défendeurs eux-mêmes n'allèguent pas qu'ils seraient exposés à une telle action, ni que la prescription aurait été interrompue. Dans ces conditions, une réduction supérieure à celle dont bénéficient déjà les auteurs ne se justifie pas, et le recours doit être rejeté sur ce point. b) A l'appui de la réduction de 3000 fr. opérée en application de l'art. 44 al. 2 CO, le Tribunal cantonal relève que les trois défendeurs "sont aujourd'hui âgés de dix-huit ans" et qu'"à cet âge-là, les jeunes gens sont en général au début de leur formation professionnelle et ne gagnent pas encore leur vie ou du moins dans une mesure très partielle". En raisonnant ainsi, les premiers juges n'ont pas procédé à une appréciation concrète des motifs de réduction pour BGE 100 II 332 S. 339 chaque responsable, comme l'exige en principe l'art. 44 al. 2 CO. Mais même dans l'hypothèse, qu'ils ont retenue, de jeunes gens de dix-huit ans en cours de formation professionnelle et dénués de fortune, la réparation solidaire entre trois d'un préjudice de 12375 fr. en capital représente un effort financier parfaitement supportable, compte tenu du salaire que gagneront les responsables une fois leur formation professionnelle achevée. La réduction de 3000 fr. n'était donc pas justifiée. Faute de recours du demandeur, elle doit néanmoins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