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177</w:t>
      </w:r>
    </w:p>
    <w:p>
      <w:r>
        <w:t>Bundesgericht (BGE), 1974-01-01, DE</w:t>
      </w:r>
    </w:p>
    <w:p>
      <w:r>
        <w:rPr>
          <w:b/>
        </w:rPr>
        <w:t xml:space="preserve">Quelle: </w:t>
      </w:r>
      <w:r>
        <w:t>https://mcp.opencaselaw.ch/entscheid/bge_BGE_100_II_177</w:t>
      </w:r>
    </w:p>
    <w:p>
      <w:r>
        <w:t>FR: ATF 100 II 177</w:t>
      </w:r>
    </w:p>
    <w:p>
      <w:r>
        <w:t>IT: DTF 100 II 177</w:t>
      </w:r>
    </w:p>
    <w:p>
      <w:pPr>
        <w:pStyle w:val="Heading2"/>
      </w:pPr>
      <w:r>
        <w:t>Regeste</w:t>
      </w:r>
    </w:p>
    <w:p>
      <w:r>
        <w:t>Regeste Verletzung des Persönlichkeitsrechts durch die in einem Presseartikel zum Ausdruck gebrachte Vermutung, eine Oltankanlage weise Mängel auf (Erw. 5). Anspruch auf Richtigstellung; Verdeutlichung des Urteilsdispositivs von Amtes wegen (Erw. 6).</w:t>
      </w:r>
    </w:p>
    <w:p>
      <w:r>
        <w:t>Regeste Violation des droits de la personnalité par un article de presse laissant présumer qu'une citerne à mazout présente des défauts (consid. 5). Droit à la rectification, éclaircissement d'office du dispositif du jugement (consid. 6).</w:t>
      </w:r>
    </w:p>
    <w:p>
      <w:r>
        <w:t>Regesto Violazione dei diritti della personalità mediante un articolo di stampa inducente a far presumere dei difetti ad una cisterna di combustibile (consid. 5). Diritto alla rettificazione; chiarimento del dispositivo della sentenza disposto d'ufficio (consid. 6).</w:t>
      </w:r>
    </w:p>
    <w:p>
      <w:pPr>
        <w:pStyle w:val="Heading2"/>
      </w:pPr>
      <w:r>
        <w:t>Erwägungen</w:t>
      </w:r>
    </w:p>
    <w:p>
      <w:r>
        <w:rPr>
          <w:b/>
        </w:rPr>
        <w:t>E. 5</w:t>
      </w:r>
    </w:p>
    <w:p>
      <w:r>
        <w:t>Der Beklagte bestreitet, das Persönlichkeitsrecht des Klägers verletzt zu haben, noch aus einem weitern Grund. Er macht geltend, die Ehre werde dadurch noch nicht berüht, dass man eine schlechte Tankanlage besitze. Ehrenrührig sei es höchstens, wenn man über den schlechten Zustand der Tankanlage Bescheid wisse und nichts dagegen unternehme. Ein dahingehender Vorwurf könne dem Artikel des Beklagten indessen nicht entnommen werden. Der Schutz der Ehre durch das Zivilrecht reicht jedoch weiter als der strafrechtliche Schutz dieses Rechtsguts, der nur die Geltung eines Menschen als sittliche Person gewährleistet (MERZ, SJZ 1971 S. 68). Der zivilrechtlich geschützte Bereich der Ehre hängt, abgesehen von dem jedem Menschen zukommenden Mindestmass von Menschenwürde, weitgehend von der sozialen Stellung und der Umgebung der betroffenen Person ab (MERZ, a.a.O. S. 67; GROSSEN, Schweiz. Privatrecht, Band II, S. 365). Ob eine Äusserung geeignet ist, das Ansehen einer Person zu mindern, ist sodann nach einem allgemeinen Massstab, und zwar vom Standpunkt des Durchschnittsbürgers aus, zu beurteilen. Im vorliegenden Fall fällt in Betracht, dass der Kläger Architekt ist und als solcher die Verantwortung für den Unterhalt der von ihm verwalteten Liegenschaft trägt. Der Durchschnittsleser einer verbreiteten Tageszeitung neigt dazu, einen die Verwaltung einer Liegenschaft besorgenden Architekten nicht leichthin von der Verantwortung zu entbinden, wenn sich die Tankanlagen dieser Liegenschaft in einem schlechten BGE 100 II 177 S. 180 oder gar "himmeltraurigen" Zustand befinden. In der Vermutung, die Tankanlagen wiesen Mängel auf, ist daher der Vorwurf eines nachlässigen Verhaltens eingeschlossen. Das muss umso eher angenommen werden, je schlechter angeblich der Zustand dieser Anlagen ist. Nun hat aber der Beklagte das Ungenügen vieler Tankanlagen mit ungewöhnlich scharfen Worten gegeisselt und damit beim Leser den - möglicherweise berechtigten - Eindruck hervorgerufen, es werde auf diesem Gebiet stark gesündigt, mit andern Worten, viele Liegenschaftenbesitzer würden ihrer Verantwortung für die. Verhinderung von Ölunfällen nicht gerecht. Der Artikel liess allermindestens offen, ob nicht auch der Kläger zu diesen ihrer. Verantwortung für den Schutz der Umwelt nicht genügend nachkommenden Personen zu rechnen sei. Darin liegt eine Verletzung in den persönlichen Verhältnissen, wenn nicht unverzüglich eine Richtigstellung erfolgt, nachdem sich die Unbegründetheit des Vorwurfes ergeben hat. Die Vorinstanz hat deshalb nicht Bundesrecht verletzt, wenn sie den vom Beklagten verfassten Artikel als geeignet erachtete, das Ansehen des Klägers beim Durchschnittsleser herabzusetzen.</w:t>
      </w:r>
    </w:p>
    <w:p>
      <w:r>
        <w:rPr>
          <w:b/>
        </w:rPr>
        <w:t>E. 6</w:t>
      </w:r>
    </w:p>
    <w:p>
      <w:r>
        <w:t>Wurde das Ansehen des Klägers durch die Veröffentlichung des Artikels im "Badener Tagblatt" beeinträchtigt, so hat die Vorinstanz mit Recht auch den Berichtigungsanspruch des Klägers bejaht, denn die Richtigstellung ist das einer ehrverletzenden Pressepublikation entsprechende Mittel zur Beseitigung des Störungszustandes ( BGE 95 II 499 /500 Erw. 10 mit Hinweisen). Was die Art der Berichtigung anbetrifft, hat sich die erste Instanz in Ziff. 2 ihres Urteilsdispositivs damit begnügt, den Beklagten zu verpflichten, "seine damals gemachten tatsachenwidrigen und tendenziösen Übertreibungen im Badener Tagblatt in angemessener Form zu berichtigen". Das Obergericht hat das erstinstanzliche Urteil auch in diesem Punkt bestätigt. Mangels jeder Verdeutlichung der Berichtigungsart ist die Richtigstellungspflicht des Beklagten jedoch nur ungenügend bestimmt. Sie ist in dieser Form nicht vollstreckbar, denn es kann nicht dem Vollstreckungsrichter überlassen bleiben, darüber zu befinden, ob eine Berichtigung als angemessen im Sinne des Urteils zu betrachten sei. Eine Verdeutlichung der Berichtigungsverpflichtung von Amtes wegen erscheint daher als geboten, um deren Vollstreckung zu gewährleisten, BGE 100 II 177 S. 181 ohne dass im Vollstreckungsverfahren Fragen materieller Art zu entscheiden sind (vgl. in diesem Sinne bezüglich der richterlichen Festlegung von Unterlassungspflichten BGE 97 II 93 /94). Diese Verdeutlichung des Urteilsdispositivs kann das Bundesgericht selbst vornehmen; eine Rückweisung der Sache an die Vorinstanz ist dazu nicht erforderlich. Es genügt die Anordung, der Beklagte habe die von ihm ausgesprochene Vermutung, der betreffende Ölunfall sei auf einen Mangel der Tankanlage zurückzuführen, als unzutreffend zurückzunehmen und gleichzeitig zum Ausdruck zu bringen, dass die in seinem Artikel enthaltenen Worte "so himmeltraurige Anlagen" und "unglaubliche Anlagen" auf die in Frage stehende Tankanlage in keiner Weise zutreffen. Die Berichtigung ist ferner als solche zu bezeichnen und an gleicher Stelle und in möglichst gleicher Aufmachung wie der beanstandete Artikel im Textteil der Zeitung "Badener Tagblatt" zu veröffentlichen. Diese Präzisierung bedeutet ebensowenig eine teilweise Gutheissung der Berufung wie in BGE 97 II 93 /94; der Beklagte hat auch im vorliegenden Fall nie geltend gemacht, das entsprechende Klagebegehren und das dieses gutheissende Urteilsdispositiv seien zu weit gefasst. Die kantonalen Instanzen hätten die nachzuholende Verdeutlichung von sich aus vornehmen müssen, um die Vollstreckung des Urteils zu ermöglichen.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