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64</w:t>
      </w:r>
    </w:p>
    <w:p>
      <w:r>
        <w:t>Bundesgericht (BGE), 1974-08-07, DE</w:t>
      </w:r>
    </w:p>
    <w:p>
      <w:r>
        <w:rPr>
          <w:b/>
        </w:rPr>
        <w:t xml:space="preserve">Quelle: </w:t>
      </w:r>
      <w:r>
        <w:t>https://mcp.opencaselaw.ch/entscheid/bge_BGE_100_III_64</w:t>
      </w:r>
    </w:p>
    <w:p>
      <w:r>
        <w:t>FR: ATF 100 III 64</w:t>
      </w:r>
    </w:p>
    <w:p>
      <w:r>
        <w:t>IT: DTF 100 III 64</w:t>
      </w:r>
    </w:p>
    <w:p>
      <w:pPr>
        <w:pStyle w:val="Heading2"/>
      </w:pPr>
      <w:r>
        <w:t>Regeste</w:t>
      </w:r>
    </w:p>
    <w:p>
      <w:r>
        <w:t>Regeste Kompetenzverteilung zwischen Aufsichtsbehörden und Richter Die endgültige Entscheidung über die Frage, was als Vermögen des Gemeinschuldners zur Konkursmasse gehört und was Dritte beanspruchen können, obliegt dem Richter.</w:t>
      </w:r>
    </w:p>
    <w:p>
      <w:r>
        <w:t>Regeste Répartition des compétences entre les autorités de surveillance et le juge. Il appartient au juge de décider en dernier ressort quels sont les biens du failli qui appartiennent à la masse et quels sont les biens auxquels des tiers peuvent prétendre.</w:t>
      </w:r>
    </w:p>
    <w:p>
      <w:r>
        <w:t>Regesto Suddivisione delle competenze fra le autorità di vigilanza e ilgiudice. La decisione definitiva sulla questione di determinare i beni che, essendo del debitore, appartengono alla massa e quelli che possono rivendicare i terzi incombe al giudice.</w:t>
      </w:r>
    </w:p>
    <w:p>
      <w:pPr>
        <w:pStyle w:val="Heading2"/>
      </w:pPr>
      <w:r>
        <w:t>Erwägungen</w:t>
      </w:r>
    </w:p>
    <w:p>
      <w:r>
        <w:rPr>
          <w:b/>
        </w:rPr>
        <w:t>E. 1</w:t>
      </w:r>
    </w:p>
    <w:p>
      <w:r>
        <w:t>Als Konkursverwaltung hat das Konkursamt die Interessen der Masse zu wahren. Es ist daher legitimiert, den diese Interessen berührenden Entscheid der kantonalen Aufsichtsbehörde im Namen der Masse an das Bundesgericht weiterzuziehen ( BGE 97 III 96 , BGE 96 III 107 , BGE 85 III 91 /92 mit Hinweisen).</w:t>
      </w:r>
    </w:p>
    <w:p>
      <w:r>
        <w:rPr>
          <w:b/>
        </w:rPr>
        <w:t>E. 2</w:t>
      </w:r>
    </w:p>
    <w:p>
      <w:r>
        <w:t>Angesichts der bundesgerichtlichen Rechtsprechung (vgl. BGE 85 III 158 , BGE 79 III 46 ff., BGE 54 III 11 f.) bestreitet das Konkursamt zu Recht nicht, dass die Schuldnerin bis zur Bestätigung des Konkurserkenntnisses durch die Rekurskommission dispositionsfähig blieb und daher an sich bis zu diesem Zeitpunkt in der Lage war, die Schuld gegenüber der Edwin Vogt AG rechtsgültig zu tilgen. Es macht jedoch geltend, in der Aushändigung des streitigen Betrages an Dr. Etter sei keine eigentliche Zahlung zu erblicken. Die Hingabe des Geldes sei vielmehr unter der Bedingung erfolgt, dass das Konkursdekret aufgehoben werde. Diese Bedingung sei aber in der Folge nicht eingetreten, da die Rekurskommission das Konkurserkenntnis BGE 100 III 64 S. 66 im Gegenteil bestätigt habe. Deshalb müsse der Betrag der Konkursmasse zurückbezahlt werden. Ob die Zahlung den ihr vom Konkursamt beigelegten Sinn gehabt habe und ob die Edwin Vogt AG das Geld behalten dürfe, ist indessen nicht von den Aufsichtsbehörden zu entscheiden. Es handelt sich dabei um eine materiell-rechtliche Auseinandersetzung zwischen der Konkursverwaltung und einem Dritten darüber, was als Vermögen des Gemeinschuldners zur Konkursmasse gehört und was der Dritte beanspruchen kann. Die endgültige Entscheidung über eine solche Frage obliegt jedoch dem Richter (JAEGER, N. 4C zu Art. 197 SchKG ). Befindet sich die vom Dritten beanspruchte Sache in dessen Gewahrsam, so kann die Konkursverwaltung sie nur durch Klage zur Masse ziehen; durch blosse Verfügung kann sie dagegen den Dritten nicht zur Herausgabe der Sache verpflichten ( BGE 99 III 14 ff. mit Hinweisen). Im Ergebnis hat daher die Rekurskommission richtig entschieden, wenn sie die Beschwerde der Edwin Vogt AG gegen die Verfügung des Konkursamtes, gemäss welcher der streitige Betrag in die Konkursmasse einzuwerfen war, guthiess. Sie war dagegen nicht kompetent, darüber zu befinden, ob die Edwin Vogt AG das Geld behalten dürfe. Der diesbezügliche Passus ist deshalb aus dem Dispositiv des angefochtenen Entscheids zu streichen. Dispositiv Demnach erkennt die Schuldbetreibungs- und Konkurskammer: In teilweiser Gutheissung des Rekurses wird folgender Teil von Dispositiv Ziffer 1 des angefochtenen Entscheids gestrichen: "und die Beschwerdeführerin als berechtigt erklärt, den am 9.1.1974 seitens der Holzbau AG bezahlten Betrag von Fr. 11 550.50 als Zahlung für sich zu behalten". Im übrigen wird der angefochtene Entscheid im Sinne der Erwägungen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