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33</w:t>
      </w:r>
    </w:p>
    <w:p>
      <w:r>
        <w:t>Bundesgericht (BGE), 1974-04-16, DE</w:t>
      </w:r>
    </w:p>
    <w:p>
      <w:r>
        <w:rPr>
          <w:b/>
        </w:rPr>
        <w:t xml:space="preserve">Quelle: </w:t>
      </w:r>
      <w:r>
        <w:t>https://mcp.opencaselaw.ch/entscheid/bge_BGE_100_III_33</w:t>
      </w:r>
    </w:p>
    <w:p>
      <w:r>
        <w:t>FR: ATF 100 III 33</w:t>
      </w:r>
    </w:p>
    <w:p>
      <w:r>
        <w:t>IT: DTF 100 III 33</w:t>
      </w:r>
    </w:p>
    <w:p>
      <w:pPr>
        <w:pStyle w:val="Heading2"/>
      </w:pPr>
      <w:r>
        <w:t>Regeste</w:t>
      </w:r>
    </w:p>
    <w:p>
      <w:r>
        <w:t>Regeste Kostenvorschuss zur Sicherstellung des Entgelts des Sachwalters im Stundungsverfahren. Es verstösst nicht gegen Bundesrecht, wenn die Nachlassbehörde in ihrem Entscheid über die Nachlassstundung den Schuldner für die Kosten des Sachwalters vorschusspflichtig erklärt und der Sachwalter gestützt darauf einen Kostenvorschuss einfordert.</w:t>
      </w:r>
    </w:p>
    <w:p>
      <w:r>
        <w:t>Regeste Avance de frais pour garantir la rémunération du commissaire dans la procédure de sursis concordataire. L'autorité de concordat peut, sans violer le droit fédéral, imposer au débiteur l'obligation de faire une avance pour couvrir les frais du commissaire, dans le cadre de sa décision relative au sursis concordataire. Le commissaire ne viole pas non plus le droit fédéral si, fondé sur cette décision, il exige une avance de frais.</w:t>
      </w:r>
    </w:p>
    <w:p>
      <w:r>
        <w:t>Regesto Anticipo delle spese a garanzia della retribuzione del commissario nella procedura di moratoria concordataria. Nell'ambito della decisione che concede la moratoria, l'autorità del concordato può, senza trasgredire diritto federale, obbligare il debitore a effettuare un anticipo per le spese del commissario. Neppure questi viola diritto federale se, fondandosi sull'anzidetta decisione, esige l'anticipo.</w:t>
      </w:r>
    </w:p>
    <w:p>
      <w:pPr>
        <w:pStyle w:val="Heading2"/>
      </w:pPr>
      <w:r>
        <w:t>Erwägungen</w:t>
      </w:r>
    </w:p>
    <w:p>
      <w:r>
        <w:rPr>
          <w:b/>
        </w:rPr>
        <w:t>E. 2</w:t>
      </w:r>
    </w:p>
    <w:p>
      <w:r>
        <w:t>Sodann macht die Rekurrentin geltend, der SachWalter dürfe den Kostenvorschuss nicht selbst einverlangen, sondern er müsse mit seinem Kostenvorschussbegehren an die Nachlassbehörde gelangen; es sei dann deren Sache, die Nachlasspetentin zur Leistung des Vorschusses zu veranlassen. Das bei der Nachlassstundung anzuwendende Verfahren wird vom kantonalen Recht geregelt, soweit nicht bundesrechtliche Bestimmungen eingreifen ( BGE 95 I 163 ; FRITZSCHE, Schuldbetreibung und Konkurs, 2. Aufl., II, S. 314; FAVRE, Droit des poursuites, 3. Aufl., S. 85, 397; JAEGER, N. 4 zu Art. 23 SchKG ). Die Kantone sind insbesondere berechtigt, das Honorar des Sachwalters sicherstellen zu lassen (FRITZSCHE, a.a.O.; JAEGER, N. 5 zu Art. 295 SchKG ; CORADI, Der Sachwalter im gerichtlichen Nachlassverfahren BGE 100 III 33 S. 35 nach Art. 293 ff. SchKG , Diss. Zürich 1973 S. 98). Es muss daher auch ihnen überlassen sein, die für die Festsetzung des vom Schuldner zu leistenden Vorschusses zuständige Behörde zu bezeichnen. Wohl ist es gemäss Art. 61 Abs. 1 des Gebührentarifs zum SchKG vom 7. Juli 1971 Sache der Nachlassbehörde, das Entgelt des Sachwalters festzusetzen, wobei die Weiterziehung an eine obere kantonale Nachlassbehörde vorbehalten bleibt. Aus dieser Bestimmung lässt sich jedoch nicht ableiten, der Nachlassbehörde obliege von Bundesrechts wegen auch die Festsetzung des vom Schuldner zu leistenden Kostenvorschusses. Denn der Entscheid über die Höhe des Vorschusses präjudiziert denjenigen über die Höhe des Honorars nicht. Es verstösst jedenfalls nicht gegen Bundesrecht, wenn eine Nachlassbehörde, wie im vorliegenden Fall, in ihrem Entscheid über die Nachlassstundung den Schuldner "für die weiteren Kosten des Sachwalters" vorschusspflichtig erklärt und der Sachwalter gestützt darauf einen Kostenvorschuss einfordert. Ob allenfalls eine Verletzung kantonalen Rechts vorliege, hat das Bundesgericht nicht zu prüfen (Art. 43 Abs. 1 in Verbindung mit Art. 81 OG ).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