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30</w:t>
      </w:r>
    </w:p>
    <w:p>
      <w:r>
        <w:t>Bundesgericht (BGE), 1974-04-16, DE</w:t>
      </w:r>
    </w:p>
    <w:p>
      <w:r>
        <w:rPr>
          <w:b/>
        </w:rPr>
        <w:t xml:space="preserve">Quelle: </w:t>
      </w:r>
      <w:r>
        <w:t>https://mcp.opencaselaw.ch/entscheid/bge_BGE_100_III_30</w:t>
      </w:r>
    </w:p>
    <w:p>
      <w:r>
        <w:t>FR: ATF 100 III 30</w:t>
      </w:r>
    </w:p>
    <w:p>
      <w:r>
        <w:t>IT: DTF 100 III 30</w:t>
      </w:r>
    </w:p>
    <w:p>
      <w:pPr>
        <w:pStyle w:val="Heading2"/>
      </w:pPr>
      <w:r>
        <w:t>Regeste</w:t>
      </w:r>
    </w:p>
    <w:p>
      <w:r>
        <w:t>Regeste Masseverbindlichkeiten im Nachlassvertrag mit Vermögensabtretung: Art. 316 c Abs. 2 SchKG. 1. Die ab Stundungsdatum geschuldeten Beiträge an Sozialversicherungseinrichtungen sind Masseverbindlichkeiten (Erw. 1). 2. Masseverbindlichkeiten werden vom Nachlassvertrag nicht erfasst und dürfen daher sofort bezahlt werden (Erw. 2).</w:t>
      </w:r>
    </w:p>
    <w:p>
      <w:r>
        <w:t>Regeste Dettes de la masse dans le concordat par abandon d'actifs (art. 316c al. 2 LP). 1. Les montants dus à des institutions de prévoyance sociale à partir de la date du sursis sont des dettes de la masse (consid. 1). 2. Les dettes de la masse ne sont pas touchées par le concordat et peuvent de ce fait être immédiatement payées (consid. 2).</w:t>
      </w:r>
    </w:p>
    <w:p>
      <w:r>
        <w:t>Regesto Obbligazioni della massa nel concordato con abbandono dell'attivo; art. 316 c cpv. 2 LEF. 1. Le somme dovute a delle istituzioni di previdenza sociale a decorrere dalla data della moratoria sono debiti della massa (consid. 1). 2. I debiti della massa non sono compresi nel concordato e possono pertanto essere immediatamente pagati (consid. 2).</w:t>
      </w:r>
    </w:p>
    <w:p>
      <w:pPr>
        <w:pStyle w:val="Heading2"/>
      </w:pPr>
      <w:r>
        <w:t>Erwägungen</w:t>
      </w:r>
    </w:p>
    <w:p>
      <w:r>
        <w:rPr>
          <w:b/>
        </w:rPr>
        <w:t>E. 1</w:t>
      </w:r>
    </w:p>
    <w:p>
      <w:r>
        <w:t>Streitig ist zunächst, ob die während der Nachlassstundung aufgelaufenen Beiträge an die AHV/IV/EO und FAK sowie die SUVA-Prämien als Masseverbindlichkeiten zu betrachten seien. Da die Rekurrentin einen Nachlassvertrag mit Vermögensabtretung anstrebt, beurteilt sich diese Frage nach Art. 316c Abs. 2 SchKG . Gemäss dieser Bestimmung sind diejenigen Verpflichtungen als Masseverbindlichkeiten anzusehen, die während der Nachlassstundung mit Zustimmung des Sachwalters eingegangen worden sind. Nun sind zwar die Beiträge an Sozialversicherungseinrichtungen keine Leistungen, zu denen sich ein Schuldner vertraglich verpflichten und denen der Sachwalter zustimmen könnte, sondern sie sind von Gesetzes wegen geschuldet. Auch solche öffentlich-rechtliche Verpflichtungen können indessen den Charakter von Masseverbindlichkeiten haben ( BGE 96 I 247 , BGE 75 III 22 ; BÖNI, Die Masseverbindlichkeiten im Nachlassvertrag mit Vermögensabtretung, Diss. Freiburg 1959 S. 33 ff.; ders., BlSchK 1962 S. 70/71). Dies ist insbesondere dann der Fall, wenn sie unmittelbar mit einer Masseverbindlichkeit verknüpft sind. So hat das Bundesgericht z.B. entschieden, die Warenumsatzsteuerpflicht für Lieferungen, die der Schuldner während der Nachlassstundung BGE 100 III 30 S. 32 mit Zustimmung des Sachwalters ausgeführt hat, sei eine Verbindlichkeit der Masse ( BGE 96 I 244 ff.). Gleich muss es sich verhalten bei Sozialversicherungsbeiträgen, wenn die Lohnschulden, nach denen sie sich bemessen (vgl. z.B. Art. 13 AHVG ), ihrerseits Masseverbindlichkeiten sind. Gerade dies scheint aber die Rekurrentin zu bestreiten, wenn sie geltend macht, dem Schuldner sei von Gesetzes wegen gestattet, während der Nachlassstundung sein Geschäft weiterzuführen, woraus hervorgehe, dass dazu die Zustimmung des Sachwalters nicht notwendig sei. Gewiss bedarf der Schuldner nicht der Zustimmung des Sachwalters, um sein Geschäft weiterzuführen. Er untersteht dabei aber dessen Aufsicht ( Art. 298 Abs. 1 SchKG ). Der Sachwalter kann dem Schuldner insbesondere Weisungen hinsichtlich der Geschäftstätigkeit erteilen, z.B. ihm verbieten, eine bestimmte Schuld einzugehen. Erteilt er in bezug auf das Personal keine Weisungen (z.B. Entlassungen, Kurzarbeit), so ist anzunehmen, er stimme den während der Fortführung des Geschäftes entstehenden Lohnschulden zu (die Zustimmung kann auch stillschweigend erfolgen; BÖNI, Diss. S. 42, BlSchK 1962 S. 77). Im vorliegenden Fall fehlt es an einer solchen Weisung. Die vom Stundungsdatum an geschuldeten Löhne und demzufolge auch die damit in unmittelbarem Zusammenhang stehenden Verpflichtungen gegenüber der Ausgleichskasse und der SUVA sind daher als Masseverbindlichkeiten zu betrachten. Im übrigen kann nach der Lehre die Zustimmung im Sinne von Art. 316c Abs. 2 SchKG auch nachträglich erteilt werden (BÖNI, Diss. S. 41, BlSchK 1962 S. 76). Die Aufforderung an die Rekurrentin, die Sozialversicherungsbeiträge zu bezahlen, brachte klar zum Ausdruck, dass der Sachwalter diesen Verpflichtungen zustimmte und dass er sie als Masseverbindlichkeiten behandelt wissen wollte.</w:t>
      </w:r>
    </w:p>
    <w:p>
      <w:r>
        <w:rPr>
          <w:b/>
        </w:rPr>
        <w:t>E. 2</w:t>
      </w:r>
    </w:p>
    <w:p>
      <w:r>
        <w:t>Masseverbindlichkeiten dürfen sofort bezahlt werden, denn sie werden vom Nachlassvertrag nicht erfasst. Anders liesse sich die Weiterführung des Geschäftes während der Stundung häufig gar nicht durchführen, werden doch die Geschäftspartner des Nachlassschuldners nur dann zu weiteren Lieferungen bereit sein, wenn ihnen sofortige Bezahlung zugesichert wird (CORADI, Der Sachwalter im gerichtlichen Nachlassverfahren nach Art. 293 ff. SchKG , Diss. Zürich 1973 S. 27; JAEGER, N. 1 zu Art. 298 SchKG ). Die Massegläubiger BGE 100 III 30 S. 33 können den Schuldner trotz der Stundung sogar betreiben, allerdings nur auf Pfändung ( Art. 316d Abs. 2 SchKG ; LUDWIG, Der Nachlassvertrag mit Vermögensabtretung, Diss. Bern 1970 S. 39/40, 101; BÖNI, Diss. S. 92, BlSchK 1962 S. 140; für die Masseschulden im Konkurs vgl. entsprechend BGE 50 III 174 ; JAEGER, N. 4 zu Art. 206 SchKG ; FAVRE, Droit despoursuites, 3. Aufl. S. 299). Denn das Zwangsvollstreckungsverbot in Art. 297 und 316a Abs. 2 SchKG bezieht sich nur auf diejenigen Forderungen, die unter den Nachlassvertrag fallen, was bei den Masseverbindlichkeiten nicht der Fall ist (LUDWIG, a.a.O. S. 101; BÖNI, Diss. S. 93/94, BlSchK 1962 S. 141). Die sofortige Bezahlung von Masseschulden kann sich daher auch dann aufdrängen, wenn drohende Betreibungen abzuwenden sind.</w:t>
      </w:r>
    </w:p>
    <w:p>
      <w:r>
        <w:rPr>
          <w:b/>
        </w:rPr>
        <w:t>E. 3</w:t>
      </w:r>
    </w:p>
    <w:p>
      <w:r>
        <w:t>Ist die sofortige Bezahlung von Masseverbindlichkeiten als zulässig zu betrachten, so kann die Weisung des Sachwalters an die Rekurrentin, die ab Stundungsdatum aufgelaufenen Sozialversicherungsbeiträge zu bezahlen, nicht gesetzwidrig sein. Ob die Weisung unangemessen war, wie die Rekurrentin geltend macht, kann das Bundesgericht nicht überprüfen, da mit dem Rekurs im Sinne von Art. 19 SchKG Ermessensfehler nicht gerügt werden können ( BGE 97 II 126 , BGE 96 III 16 , BGE 93 III 119 , BGE 91 III 57 ). Der Rekurs ist daher abzuweisen, womit das Gesuch um Gewährung der aufschiebenden Wirkung gegenstandslos wird.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