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418 vom 27. November 1974</w:t>
      </w:r>
    </w:p>
    <w:p>
      <w:r>
        <w:t>Bundesgericht (BGE), 1974-11-27, FR</w:t>
      </w:r>
    </w:p>
    <w:p>
      <w:r>
        <w:rPr>
          <w:b/>
        </w:rPr>
        <w:t xml:space="preserve">Quelle: </w:t>
      </w:r>
      <w:r>
        <w:t>https://mcp.opencaselaw.ch/entscheid/bge_BGE_100_IB_418</w:t>
      </w:r>
    </w:p>
    <w:p>
      <w:r>
        <w:t>FR: BGE BGE 100 IB 418 du 27 novembre 1974</w:t>
      </w:r>
    </w:p>
    <w:p>
      <w:r>
        <w:t>IT: BGE BGE 100 IB 418 del 27 novembre 1974</w:t>
      </w:r>
    </w:p>
    <w:p>
      <w:pPr>
        <w:pStyle w:val="Heading2"/>
      </w:pPr>
      <w:r>
        <w:t>Regeste</w:t>
      </w:r>
    </w:p>
    <w:p>
      <w:r>
        <w:t>Regeste Art. 19bis, 76 EntG. Grundsätze über die Festsetzung der dem Enteigneten im Rahmen der Verfahren nach den Art. 76 und 19bis EntG geschuldeten Zahlungen.</w:t>
      </w:r>
    </w:p>
    <w:p>
      <w:r>
        <w:t>Regeste Art. 19bis, 76 LEx. Principes régissant la fixation des acomptes dus à l'exproprié dans le cadre des procédures prévues aux art. 76 et 19 bis LEx.</w:t>
      </w:r>
    </w:p>
    <w:p>
      <w:r>
        <w:t>Regesto Art. 19bis, 76 LEspr. Principi relativi alla determinazione degli acconti dovuti all'espropriato nel quadro delle procedure previste dagli art. 76 e 19bis LEspr.</w:t>
      </w:r>
    </w:p>
    <w:p>
      <w:pPr>
        <w:pStyle w:val="Heading2"/>
      </w:pPr>
      <w:r>
        <w:t>Erwägungen</w:t>
      </w:r>
    </w:p>
    <w:p>
      <w:r>
        <w:rPr>
          <w:b/>
        </w:rPr>
        <w:t>E. 1</w:t>
      </w:r>
    </w:p>
    <w:p>
      <w:r>
        <w:t>La loi fédérale sur l'expropriation, du 20 juin 1930 (LEx.), envisage deux cas dans lesquels l'expropriant doit verser à l'exproprié des acomptes à valoir sur l'indemnité définitive, avant que celle-ci ne soit fixée; les art. 19bis et 76 s'y rapportent. Les procédures instituées par ces dispositions se différencient l'une de l'autre à plusieurs égards. a) L'art. 76 LEx. constitue à lui seul le chapitre VIbis de la loi; il concerne l'envoi en possession anticipé. Celui-ci peut être requis par l'expropriant en tout temps, s'il prouve qu'à défaut l'entreprise serait exposée à un sérieux préjudice. Le président de la Commission d'estimation statue sur la demande au plus tôt durant l'audience de conciliation. L'exproprié peut demander que l'expropriant soit astreint à fournir au préalable des sûretés d'un montant convenable ou à BGE 100 Ib 418 S. 420 verser des acomptes, ou à l'une et l'autre de ces prestations simultanément (art. 76 al. 5). L'indemnité définitive porte intérêt au taux usuel dès le jour de la prise de possession, et l'exproprié est indemnisé de tout autre dommage résultant pour lui de la prise de possession anticipée. Après l'envoi en possession anticipé, l'exproprié, qui ne peut plus disposer de son bien, n'en continue pas moins à supporter les charges liées à la propriété (impôts fonciers, charges hypothécaires, etc.). Les acomptes qui lui sont versés ont notamment pour but de le dédommager de ce fait (HESS, Das Enteignungsrecht des Bundes, p. 200; WIEDERKEHR, Die vorzeitige Benutzung des Abtretungsobjektes nach eidgenössischem und zürcherischem Enteignungsrecht, ZBl 68/1967, p. 57 ss., 58). Ils visent également à compenser financièrement tous les autres préjudices subis par l'exproprié, en tant qu'ils peuvent être prévus comme une conséquence de l'envoi en possession anticipé (cf. art. 19 lit. c LEx.). Le montant des acomptes n'est ainsi pas fixé en fonction de la valeur vénale de la parcelle expropriée. C'est au contraire l'importance des dommages financiers résultant de la prise en possession anticipée qui est à cet égard déterminante. b) L'art. 19bis LEx., en vigueur depuis le er août 1972, donne à l'exproprié le droit de demander la fixation par la Commission d'estimation, d'un acompte dont le montant doit correspondre à celui de l'indemnité pour la valeur vénale, lorsque les parties ne peuvent pas s'entendre et s'il n'y a plus de demandes au sens des art. 7 à 10 LEx. qui soient encore pendantes. Si l'indemnité définitive dépasse le montant déjà versé, la différence porte intérêt au taux usuel dès l'acquisition de la propriété jusqu'au moment du paiement. Un montant perçu en trop doit être remboursé. Selon l'art. 91 LEx., "par l'effet du paiement de l'indemnité ou du montant fixé selon l'art. 19bis al. 2, l'expropriant acquiert la propriété de l'immeuble exproprié ou le droit que l'expropriation constitue en sa faveur sur l'immeuble".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