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100 IA 36 vom 6. März 1974</w:t>
      </w:r>
    </w:p>
    <w:p>
      <w:r>
        <w:t>Bundesgericht (BGE), 1974-03-06, FR</w:t>
      </w:r>
    </w:p>
    <w:p>
      <w:r>
        <w:rPr>
          <w:b/>
        </w:rPr>
        <w:t xml:space="preserve">Quelle: </w:t>
      </w:r>
      <w:r>
        <w:t>https://mcp.opencaselaw.ch/entscheid/bge_BGE_100_IA_36</w:t>
      </w:r>
    </w:p>
    <w:p>
      <w:r>
        <w:t>FR: BGE BGE 100 IA 36 du 6 mars 1974</w:t>
      </w:r>
    </w:p>
    <w:p>
      <w:r>
        <w:t>IT: BGE BGE 100 IA 36 del 6 marzo 1974</w:t>
      </w:r>
    </w:p>
    <w:p>
      <w:pPr>
        <w:pStyle w:val="Heading2"/>
      </w:pPr>
      <w:r>
        <w:t>Regeste</w:t>
      </w:r>
    </w:p>
    <w:p>
      <w:r>
        <w:t>Regeste Art. 4 BV. Übertretung eines Baupolizeigesetzes. Anwendung der allgemeinen Bestimmungen des Strafgesetzbuches auf Verwaltungsstrafen. Ist das Verschulden eine Strafbarkeitsbedingung? (Frage offen gelassen.)</w:t>
      </w:r>
    </w:p>
    <w:p>
      <w:r>
        <w:t>Regeste Art. 4 Cst. Infractions à une loi sur la police des constructions. Application des dispositions générales du Code pénal aux sanctions administratives. La faute est-elle une condition de punissabilité? (Question réservée.)</w:t>
      </w:r>
    </w:p>
    <w:p>
      <w:r>
        <w:t>Regesto Art. 4 CF. Infrazione ad una legge sulla polizia edilizia. Applicazione delle disposizioni generali del codice penale alle sanzioni amministrative. La colpa è un presupposto della punibilità? (Questione lasciata indecisa.)</w:t>
      </w:r>
    </w:p>
    <w:p>
      <w:pPr>
        <w:pStyle w:val="Heading2"/>
      </w:pPr>
      <w:r>
        <w:t>Erwägungen</w:t>
      </w:r>
    </w:p>
    <w:p>
      <w:r>
        <w:rPr>
          <w:b/>
        </w:rPr>
        <w:t>E. 1</w:t>
      </w:r>
    </w:p>
    <w:p>
      <w:r>
        <w:t>Le recourant admet avoir enfreint les art. 5, 20, 76 lettres f et g RCC et reconnaît être passible d'une amende. Il conteste, en revanche, la quotité de cette dernière, soutenant qu'il n'y a aucune proportion raisonnable entre le montant retenu et la faute reprochée. La pénalité instituée par le RCC de la commune de St-Léonard constitue une sanction administrative infligée à un administré en raison de la violation d'une obligation de droit public. La doctrine et la jurisprudence ont marqué quelques hésitations au BGE 100 Ia 36 S. 39 sujet de la nature de telles pénalités. Il est certain que celles-ci ne présentent pas tous les caractères du droit pénal proprement dit. En particulier, les dispositions générales du code pénal ne leur sont généralement pas applicables (GERMANN, Kommentar, p. 25 no 2 ad art. 1er-100; SCHWANDER, Das schweiz. Strafgesetzbuch, 2e éd., p. 22 no 35; PFUND, Verwaltungsrecht-Strafrecht, RDS 1971 II 140; GAUTHIER, Droit administratif et droit pénal, ibid., 348; GRISEL, Droit administratif suisse, p. 334/335; RO 93 I 464 ; 94 I 94 ; 97 I 835 /836; ATF du 13 juin 1973 en la cause UBS c. Conseil d'Etat de Fribourg). On peut toutefois se demander s'il faut tenir compte de la gravité de la faute - ou de l'absence de faute - dans la fixation d'une amende disciplinaire. Le Tribunal fédéral a laissé cette question indécise dans deux arrêts (RO 93 I 466 ; 94 I 95 ) concernant des infractions à des lois fédérales, tout en soulignant que la faute n'est pas une condition de la punissabilité en matière d'amendes d'ordre. GRISEL, dans l'ouvrage cité, p. 339, relève quant à lui que l'amende doit être en rapport avec la gravité de l'infraction et, le cas échéant, avec le degré de la faute. De toute manière, s'il faut respecter le principe de la proportionnalité et si l'amende administrative doit être mesurée d'après les circonstances du cas, il n'en demeure pas moins que la sévérité s'impose pour détourner le contrevenant et stimuler le respect de la loi dans l'intérêt de la collectivité (RO 80 I 57 consid. 4 ; 94 I 95 ; GRISEL, op.cit., p. 339; GAUTHIER, op.cit., p. 348).</w:t>
      </w:r>
    </w:p>
    <w:p>
      <w:r>
        <w:rPr>
          <w:b/>
        </w:rPr>
        <w:t>E. 2</w:t>
      </w:r>
    </w:p>
    <w:p>
      <w:r>
        <w:t>En l'espèce, le recourant avait requis l'autorisation de bâtir quatre villas et quatre garages. Tant l'autorisation de la Commission cantonale des constructions que celle du Conseil communal réservaient la mise à disposition par le requérant d'une surface totale de terrain de 1666 m2. Le permis communal n'avait d'ailleurs été accordé, le 7 décembre 1972, que pour la construction des quatre villas; il y était expressément spécifié que l'autorisation de construire les garages ne serait délivrée que lorsque la surface destinée à l'indice serait réglée. La commune est intervenue à nouveau immédiatement après la mise en chantier, pour rendre le recourant attentif au fait qu'elle exigerait l'arrêt des travaux si l'indice de construction n'était pas respecté. Reynard prit l'engagement formel de ne pas commencer la construction des garages avant d'avoir acquis les mètres carrés manquants. Après de premières démarches BGE 100 Ia 36 S. 40 infructueuses pour l'achat du terrain supplémentaire, il fit tout de même exécuter la construction de trois garages, sans avoir repris contact ni avec l'autorité communale ni avec la Commission cantonale des constructions et sans l'autorisation de construire qu'il savait d'ailleurs pertinemment ne pas pouvoir obtenir. N'entendant pas se soumettre à l'in,jonction de l'autorité communale, il a choisi, le sachant et le voulant, la solution du fait accompli. C'est en vain qu'il prétend, dans le présent recours de droit public, que la construction des trois garages a été commencée à son insu par l'entreprise chargée des travaux, car il donne une autre explication dans son mémoire complémentaire adressé au Conseil d'Etat le 24 août 1973. Il y déclare en effet qu'en supprimant un garage, réduisant ainsi la surface de construction, il avait estimé pouvoir construire les trois autres, pensant que les divers entretiens qu'il avait eus avec la commune de St-Léonard étaient suffisants et qu'il n'avait pas d'autres formalités à remplir pour la construction de ces bâtiments. Un tel comportement est peu compatible avec les règles de la bonne foi. Le recourant tente par ailleurs de minimiser les contraventions qu'il a commises et l'atteinte aux intérêts publics en cause. Il va jusqu'à soutenir qu'il est de peu d'importance qu'un bâtiment soit construit avant ou après l'obtention du permis communal, pour autant que les normes de construction aient été respectées. Cette opinion est évidemment insoutenable, en ce qu'elle dénie toute valeur au contrôle des projets de construction par l'autorité administrative et à l'examen préalable de leur compatibilité avec les dispositions réglementaires en vigueur, alors qu'il s'agit de mesures indispensables sans lesquelles on ne tarderait pas à constater les plus graves abus en matière d'urbanisme et de protection de l'environnement. Les infractions constatées en l'espèce sont donc objectivement graves. Elles ont été commises sciemment par le recourant, dont la faute est également d'une gravité particulière. C'est dès lors à juste titre que le Conseil communal en a tenu compte pour sanctionner ces contraventions avec rigueur. Cette sanction ne heurte pas in casu les exigences du principe de la proportionnalité, même si c'est l'amende maximum prévue qui a été prononcée. Il y a lieu de remarquer à cet égard qu'une démolition des garages aurait même pu être envisagée en vertu de l'art. 86 lettre a RCC. Le Conseil communal de St-Léonard, BGE 100 Ia 36 S. 41 en infligeant une amende de 5000 fr. au recourant, n'a donc pas excédé les limites de son pouvoir d'appréciation, ni abusé de ce pouvoir.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