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79 I 110</w:t>
      </w:r>
    </w:p>
    <w:p>
      <w:r>
        <w:t>Bundesgericht (BGE), 1953-01-01, FR</w:t>
      </w:r>
    </w:p>
    <w:p>
      <w:r>
        <w:rPr>
          <w:b/>
        </w:rPr>
        <w:t xml:space="preserve">Quelle: </w:t>
      </w:r>
      <w:r>
        <w:t>https://mcp.opencaselaw.ch/entscheid/bge_79_I_110</w:t>
      </w:r>
    </w:p>
    <w:p>
      <w:r>
        <w:t>FR: ATF 79 I 110</w:t>
      </w:r>
    </w:p>
    <w:p>
      <w:r>
        <w:t>IT: DTF 79 I 110</w:t>
      </w:r>
    </w:p>
    <w:p>
      <w:pPr>
        <w:pStyle w:val="Heading2"/>
      </w:pPr>
      <w:r>
        <w:t>Volltext</w:t>
      </w:r>
    </w:p>
    <w:p>
      <w:r>
        <w:t>110 Verwaltungs- und Disziplinarrecht. eventuellement retenir comme circonstance speciale justi- nant l'application de l'art. 4 al. 2 AIR consiste dans la collaboration d'un cousin, expert-comptable, que le recou- rant a declare vouloir s'adjoindre pour suppIeer le defaut de connaissances commerciales, qu'il reconnait lui-meme presenter. Il n'est cependant pas necessaire d'examiner, dans la presente espece, si et dans quelles circonstances un requerant peut, en s'adjoignant un tiers, combler une lacune de ses connaissances techniques ou commerciales. Il suffit de constater que les conditions dans lesquelles aurait eM engage l'expert-comptable - probablement un simple mandat - ne sont pas connues et que rien ne permet de croire que les relations qui auraient ete creoos entre l'employeur et l'employe ou entre le mandant et le man- dataire auraient offert des garanties suffisantes du point de vue de leur duroo et de la stabilite de l'entreprise. 5. - Par ces motifs, le Tribunal federal: Rejette le recours. 20. Extait de rarret du 27 fevriel' 1953· dans la cause Choffat contre Departement federal de I'eeonomie publique. Art. 4 AIH: Connaissances techniques et commerciales exigees de l'ouvrier qui demande l'autorisation d'ouvrir un atelier de per ~m» quando il suo guadagno, ten.e~do conto. anche ~el reddltI di sua moglie, supera quanto gh e necessarlO per Vivere secondo il suo stato (consid. 3). . . Incombe al giudice dichiarare se il capitale e il reddito deI debitore rappresentano « nuovi beni)); il giudice non pUO delegare questa competenza all'ufficiale d'esecuzione (consid. 4). A. - Der Beschwerdeführer Albert Steiner war unbe- schränkt haftender Teilhaber der Kommanditgesellschaft 8 AS 79 I - 1953</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