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97</w:t>
      </w:r>
    </w:p>
    <w:p>
      <w:r>
        <w:t>Bundesgericht (BGE), 1953-03-30, DE</w:t>
      </w:r>
    </w:p>
    <w:p>
      <w:r>
        <w:rPr>
          <w:b/>
        </w:rPr>
        <w:t xml:space="preserve">Quelle: </w:t>
      </w:r>
      <w:r>
        <w:t>https://mcp.opencaselaw.ch/entscheid/bge_79_III_97</w:t>
      </w:r>
    </w:p>
    <w:p>
      <w:r>
        <w:t>FR: ATF 79 III 97</w:t>
      </w:r>
    </w:p>
    <w:p>
      <w:r>
        <w:t>IT: DTF 79 III 97</w:t>
      </w:r>
    </w:p>
    <w:p>
      <w:pPr>
        <w:pStyle w:val="Heading2"/>
      </w:pPr>
      <w:r>
        <w:t>Volltext</w:t>
      </w:r>
    </w:p>
    <w:p>
      <w:r>
        <w:t>1 97 A. Scbnldbetreibungs- und Konkursrecht. Ponrsuite et Faillite. ENTSCHEIDUNGEN DER SCHULDBETREIBUNGS- UND KO~TKURSKAMMER ARRETS DE LA CHAMBRE DES POURSUITES ET DES FAILLITES 21. Entscheid vom 30. März 1953 i. S. Kradoller &amp; Häberlin. Die dem Rechtsvorschlage beigefügte Begründung « da das Gut- haben dieser Firma weit unter diesem Betrage steht '' macht die Erklärung nicht nach Art. 74 Abs. 2 SchKG ungültig. Le fait que le debiteur a motive son opposition en y ajoutant les mots : " car la creance de cette societe est bien infärieure a ce montant '' n'a pas pour effet de rendre l'opposition non avenue dans le sens de l'art. 74 al. 2 LP. II fatto ehe il debitore ha motivato la sua opposizione aggiungendo le parole « perche il credito di questa ditta e di molto inferiore a quest'importo » non infirma la validita dell'opposizione a norma dell'art. 74 cp. 2 LEF. A. - Auf den Zahlungsbefehl Nr. 69 des Betreibungs- amtes Au (St. Gallen) für Fr. 1057.- nebst Zins teilte der Schuldner dem Amte mit, &gt; wurde als gültiger uneingeschränkter Rechtsvorschlag anerkannt, Schuldbetreibungs- und Konkursrecht. No 21. 99 weil nicht zu vermuten sei, der Schuldner wolle die unein- geschränkte Rechtsvorschlagserklärung durch den Zusatz in eine Teilbestreitung ohne Betragsangabe umwandeln. Diese Milderung einer frühern Betrachtungsweise (vgl. etwa noch BGE 62 III 99) trägt den Interessen des Schuld- ners billig Rechnung und verdient fernerhin wegleitend zu bleiben, wie sie denn auch in der Betreibungspraxis Anklang gefunden hat (vgl. einen Entscheid der Aufsichtsbehörde von Basel-Stadt vom 28. Juni 1946, in den Blättern für Schuldbetreibung und Konkurs 1947 S. 119, und die Aus- führungen von HINDERLING, Der Inhalt des Rechtsvor- schlages, in derselben Zeitschrift 1945 S. 65 ff.). Nichts hindert den Schuldner eben, in vollem Umfange Recht vorzuschlagen, auch wenn er mit etwelcher Schuldpflicht rechnet, die er derzeit noch nicht zu beziffern vermag oder jedenfalls, um seine Stellung im allfälligen Prozesse nicht von vornherein zu schwächen, nicht beziffern will. Auch im vorliegenden Falle ist eine solche Totalbestreitung erfolgt, deren Begründung durch den Nachsatz sich zwangslos dahin deuten lässt, es bedürfe noch einer nähern Abklä- rung des Betrages der Ansprüche, ohne dass der Schuldner gleich schon einen bestimmten Betrag anerkennen und den Rechtsvorschlag dementsprechend beschränken wollte oder auch nur könnte. Die (wirkliche oder vermeintliche) Illi- quidität der Forderung erklärt es gerade, dass der Schuld- ner vorerst einmal die Betreibung überhaupt hemmen und allfällige verbindliche Zugeständnisse der Zukunft vorbe- halten will. Die Bemerkung in der Beschwerde, das Guthaben der Gläubiger &lt;&lt;reduziere sich um Fr. 740.- und mache nur noch Fr. 317.- aus)), ändert nichts am uneingeschränkten Rechtsvorschlag. Dem Schuldner steht aber frei, diesen nachträglich auf einen bestimmten Teilbetrag zu beschrän- ken. Demnach erkennt die Schuldbetr.- u.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