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159</w:t>
      </w:r>
    </w:p>
    <w:p>
      <w:r>
        <w:t>Bundesgericht (BGE), 1953-01-01, DE</w:t>
      </w:r>
    </w:p>
    <w:p>
      <w:r>
        <w:rPr>
          <w:b/>
        </w:rPr>
        <w:t xml:space="preserve">Quelle: </w:t>
      </w:r>
      <w:r>
        <w:t>https://mcp.opencaselaw.ch/entscheid/bge_79_III_159</w:t>
      </w:r>
    </w:p>
    <w:p>
      <w:r>
        <w:t>FR: ATF 79 III 159</w:t>
      </w:r>
    </w:p>
    <w:p>
      <w:r>
        <w:t>IT: DTF 79 III 159</w:t>
      </w:r>
    </w:p>
    <w:p>
      <w:pPr>
        <w:pStyle w:val="Heading2"/>
      </w:pPr>
      <w:r>
        <w:t>Volltext</w:t>
      </w:r>
    </w:p>
    <w:p>
      <w:r>
        <w:t>158 Schuldbetreibungs- und Konkursrecht. N° 35. qu'en matiere de saisie la loi n'a pas entendu distinguer entre les debiteurs selon le mode de leur retribution, et du moment que le pourboire est pour certains employes une source de revenu normale, il n'y a pas de raison pour ne pas en permettre la saisie. Certes, lorsque comme en l'espece, l'employe est unique- ment retribue par les pourboires et n'a pas l'obligation de les verser dans une caisse commune, ne sera-t-il pas possible de proceder a la saisie autrement qu'en lui intimant l'ordre de payer a l'o:ffice des poursuites une somme egale a la part de Süll gain qui excMe celle qui aura ete jugee necessaire pour son entretien et celui de sa famille. Mais une telle sommation su:ffit pour valider la saisie. En effet, s'il est possible de saisir un salaire futur et encore incertain en intimant simplement au debiteur !'ordre de verser a l'o:ffice une part du gain qu'il viendrait a realiser a partir du jour ou il trouverait une occupation (RO 78 III 129), on ne voit pas pourquoi il ne serait pas egalement possible de saisir une part de la valeur de ses pourboires en le sommant de ve:rSer a l'o:ffice une somme determinee. Pour eviter toutefois que cette som- mation ne demeure sans effet, il importera de l'aviser en meme temps que, faute par lui de s'executer, il encourra les sanctions prevues par l'art. 169 du code penal. C'est donc avec raison en l'espece que l'autorite de surveillance a invite l'o:ffice des poursuites a aviser la debitrice qu'elle aura a lui verser chaque semaine la somme de 10 fr. 40. II y aura lieu cependant de completer cette communication par la menace des sanctions de l'art. 169 CPS en cas d'insoumission. La Ghambre des poursuites et des faillites prononce : Le recours est rejete. Schuldbetreibungs- und Konkursrecht. No 36. 159 36. Entscheid vom 6. Oktober 1953 i. S. Genossenschaft ost- sehweizerischer Ziegeleibesitzer und Kalksandsteinfabrikanten. 1. Rü?kwirkende \Yiederherstellung einer zu Unrecht vom Be- treibungsarnte widerrufenen Pfändung. 2. Der Lauf_ der _Frist f':ll' das Verwertungs_begehren (Art. 116 SchKG) wird mcht beruhrt dadurch, dass die Pfiindung anderer Gegenstände noch streitig ist und die Frist in Bezug auf sie erst später beginnen kann.· 1. Retablissement retroactif d'une saisie revoquee a tort par l'office des poursuites. 2. Le delai ,8-uquE'.l est so~se la req~sition de vente (art. 116 LP) c:o~ me~e s1, pour d autres obJets dont la saisie est encore ht1g1euse, il ne peut commencer a courir qu'ulterieurement. 1. Ripristino con e:ffetto retroattivo d'un pignoramento revocato a torto dall'ufficio. · 2. Non influisce sul termine per presentare la domanda di ven- c;iita (art. ~l!J _LEF) il fatt-0 ehe il pignoramento di altri oggetti e ancora htig10so e ehe per questi il termine prendera inizio soltanto piU tardi. A. - In der Betreibung der Rekurrentin gegen Frau Ruf, Gipserei in Klosters, pfändete das Betreibungsamt Klosters am 4. Oktober 1952 vier Möbelstücke und angeb- liches Gipsereiinventar. Die Schuldnerin verzichtete auf allfällige Kompetenzqualität der Möbel, beschwerte sich aber wegen Unpfändbarkeit der Inventarstücke (insbe- sondere Leichtmetallformen}. Mit Entscheid vom 6. Juli 1953 hob die kantonale Aufsichtsbehörde &gt; nach sich zieht. Demnach erkennt die Schuldbetr.- u. Konkurskammer. Der Rekurs wird dahin gutgeheissen, dass der kantonale Entscheid, soweit angefochten, aufgehoben und das Be- treibungsamt Klosters angewiesen wird, die Pfändung der Gegenstände 1-4 wiederherzustellen und deren Verwertung vorzunehmen. 37. Estratto della sentenza 29 settembre 1953 nella causa Filippini. Procedura di rivendicazione in caso di pignoramento di crediti. Criterio per l'assegnazione del termine per agire giudizialmente. Prova dell'asserta cessione del credito al terzo rivendicante. Widerspriwhsverfahren bei Pfändung von Forderungen. Kriterium für die Klagefristansetzung nach Art. 107 oder 109 SchKG. Nachweis der behaupteten Abtretung der Forderung an den Dritt- ansprecher. Saisie de creances. Tierce revendication. Critere applicable a l'assignation du delai pour introduire action. Preuve de l'allegation selon laquelle la creance a ete cedee au tiers revendiquant. A. - In tre esecuzioni promosse dal Cantone Ticino e dalla Confederazione svizzera contro Primo Brosi l'Ufficio di Lugano pignoro in data 27 giugno 1953 due crediti Schuldbetreibungs- und Konkursrecht. No 37. 163 vantati dall'escusso verso Roberto Forni a Cassarate e Tiziano Molinari a Lugano. All'atto del pignoramento, la moglie dell'escusso dichiaro ehe i crediti staggiti erano gia stati ceduti all'avv. Sergio Filippini. L'ufficiale esecutore ne fece menzione nel ver- bale e assegno in seguito ai creditori procedenti il termine per promuovere l'azione giudiziaria a norma dell'art. 109 LEF. Contro tale provvedimento insorse la Commissione di tassazione del circondario di Lugano, in nome dei credi- tori, chiedendo ehe l'ufficio avesse a procedere conforme- mente all'art. 106 LEF. Con decisione 25 agosto 1953 l' Autorita cantonale di vigilanza accolse il reclamo, pel motivo ehe l'asserta ces- sione dei crediti pignorati non era stata provata. B. - Questa decisione e stata deferita dall'escusso e dal terzo rivendicante alla Camera di esecuzione e dei falli- menti del Tribunale federale, ehe ha respinto il ricorso per i seguenti motivi: La precedente giurisdizione ha rettamente giudicato ehe nella procedura di rivendicazione in easo di pigno- ramento di crediti il termine per agire giudizialmente dev'essere assegnato tenuto eonto della maggiore verosi- miglianza della qualita di creditore nella persona del debitore escusso o in quella del terzo rivendicante (RU 67 III 50 sgg.). Se il terzo rivendicante pretende di essere cessionario di un credito dell'escusso deve almeno indicare le cireostanze ehe rendano verosimile l'esistenza di una cessione giuridicamente valida. A quest'uopo non basta evidentemente la semplice allegazione del terzo o dell'e- scusso, o anche solo quella di sua moglie. Si puo pretendere dal terzo rivendicante ehe presenti l'atto di cessione o ne produca una copia attendibile, atteso ehe la validita della eessione e subordinata per legge alla forma scritta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