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114</w:t>
      </w:r>
    </w:p>
    <w:p>
      <w:r>
        <w:t>Bundesgericht (BGE), 1953-03-04, DE</w:t>
      </w:r>
    </w:p>
    <w:p>
      <w:r>
        <w:rPr>
          <w:b/>
        </w:rPr>
        <w:t xml:space="preserve">Quelle: </w:t>
      </w:r>
      <w:r>
        <w:t>https://mcp.opencaselaw.ch/entscheid/bge_79_III_114</w:t>
      </w:r>
    </w:p>
    <w:p>
      <w:r>
        <w:t>FR: ATF 79 III 114</w:t>
      </w:r>
    </w:p>
    <w:p>
      <w:r>
        <w:t>IT: DTF 79 III 114</w:t>
      </w:r>
    </w:p>
    <w:p>
      <w:pPr>
        <w:pStyle w:val="Heading2"/>
      </w:pPr>
      <w:r>
        <w:t>Volltext</w:t>
      </w:r>
    </w:p>
    <w:p>
      <w:r>
        <w:t>114 Schuldbetreibungs- und Konkursrecht. N° 26. b) Irrilevante e infine il fatto ehe l'ordine d'imposses- sarsi con la forza pubblica delle macchine pignorate fu impartito all'ufficio rogato prima ehe il Procuratore pub- blico si fosse pronunciato sulla denuncia penale sporta contro Ia ricorrente. Con questa denuncia, fondata sull'art. 292 CP, l'ufficio intendeva e poteva soltanto ottenere la condanna del direttore responsabile per l'agire arbitrario della Leuthold S.A. e non il ripristino della situazione legale. Non esisteva quindi una litispendenza nella stessa controversia.. E ovvio ehe per garantire una procedura conforme alla legge l'ufficiale esecutore o il funzionario preposto all'ufficio dei fallimenti deve poter usare tutti i mezzi amministrativi di cui dispone e, se ricorrono i presupposti degli art. 163 sgg. o 292 CP, poter provocare anche delle sanzioni penali contro coloro ehe illecitamente intralciano il corso della procedura. 26. Entscheid vom 4. 1\lärz 1953 i. S. Burri und Keller. Aufhebung des Zuschlages vo~ I~teriTI?-sscheinen über Namen- aktien, die nur zu 40 % hberiert smd, wegen Grundlagen- irrtums des Ersteigerers. Unter welchen Voraussetzungen dürfen solche Aktien versteigert werden ? Pflicht zur Auf- klärung des Gantpublikums. Art. 136bis SchKG, 24 Abs. l Ziff. 4 und 686-688 OR. Annulation de l'adjudication de certificats interimaires d'actions nominatives Iiberes a concurrence de 40 %, pour cause d'erreur essentielle de l'adjudicataire. A quelles conditions de telles actions peuvent-elles faire l'objet d'u~e vE_mte aux enche~es ? Devoir de renseigner les personnes qu1 assIBtent aux encheres. Art. 136bis LP, 24 al. 1 eh. 4 et 686 a 688 eo. Annullamento dell'aggiudicazione di certificati pro~ori, di azioni nominative, liberate in ragione del_ 40 %: '."' n_iotn'."o ~ u~ errore essenziale del deliberatario. A quah cond1z1om tah az10m possono essere vendute all'asta ? Obbligo d'informare le persone ehe assistono all'asta. Art. 136bis LEF, 24 cp. 1 cifra 4 e 686 a 688 eo. A. - Karl Bründler in Zürich, dessen Hinterlassenschaft durch das Konkursamt Unterstrass-Zürich liquidiert wird, war einziger Aktionär der Fundus A. G., nachmals A. G. 1 ' 1 ~· Schuldbetreibungs- und Konkursrecht. N• 26. 115 für Grundbesitz, heute Interra A. G. mit einem Aktien- kapital von Fr. 50,000.-. Über die 100 Namenaktien zu Fr. 500.- bestehen insgesamt drei Interimsscheine, und zwar je zwei über die Aktien Nr. 1-4 und einer über die Aktien Nr. 5-100. Nur jene vier Nummern sind voll libe- riert, die letztem 96 Stück dagegen nur zu 40 %, so dass noch Fr. 28,800.- einzuzahlen bleiben. Demgemäss tragen die beiden Interimsscheine je zwei Liberationsver- merke, einen vom 24. Januar 1947 über 40 % und einen vom 13. Februar 1947 über ( &gt; avec une creance hypothecaire contestee par le debiteur ? Real_izzazione forzata di f ondi. Pagamento del prezzo di aggiudica- zior:e (art. 136 LEF). « Compensazione" con un credito ipote- car10 contestato dal debitore ? In der von der Gläubigerin der II. Hypothek angehobenen Grundpfandbetreibung brachte das Be- treibungsamt Basel-Stadt die im Eigentum der Rekur- rentin stehende Liegenschaft Fasanenstrasse 122 in Basel am 11. Juni 1953 zur Versteigerung. Die Steigerungsbedin- gungen sahen vor, dass die auf Abrechnung an der Kauf- summe bar zu zahlenden Beträge bis zum 11. September 1953 zu entrichten seien. Den Zuschlag erhielt zu Fr. 338,000.- J.-J. Brodbeck, der im Lastenverzeichnis als Gläubiger der III. Hypothek, eines Schuldbriefs über Fr. 50,000.-, eingetragen ist. Da die Rekurrentin gegen ihn am 7. Mai 1953 Klage auf Aberkennung des von ihm beanspruchten Forderungs- und Grundpfandrechts einge- leitet hatte, teilte ihm das Betreibungsamt mit Schreiben vom 13. Juni 1953 u. a. mit, der die hypothekarische Belastung I. und II. Ranges übersteigende Teil des Gant- kaufpreises (ein Betrag von rund Fr. 46, 700.-) sei auf der Gerichtskasse bar einzuzahlen und bleibe solange gesperrt, bis ein rechtskräftiges Gerichtsurteil vorliege oder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