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119</w:t>
      </w:r>
    </w:p>
    <w:p>
      <w:r>
        <w:t>Bundesgericht (BGE), 1951-11-15, DE</w:t>
      </w:r>
    </w:p>
    <w:p>
      <w:r>
        <w:rPr>
          <w:b/>
        </w:rPr>
        <w:t xml:space="preserve">Quelle: </w:t>
      </w:r>
      <w:r>
        <w:t>https://mcp.opencaselaw.ch/entscheid/bge_78_IV_119</w:t>
      </w:r>
    </w:p>
    <w:p>
      <w:r>
        <w:t>FR: ATF 78 IV 119</w:t>
      </w:r>
    </w:p>
    <w:p>
      <w:r>
        <w:t>IT: DTF 78 IV 119</w:t>
      </w:r>
    </w:p>
    <w:p>
      <w:pPr>
        <w:pStyle w:val="Heading2"/>
      </w:pPr>
      <w:r>
        <w:t>Volltext</w:t>
      </w:r>
    </w:p>
    <w:p>
      <w:r>
        <w:t>US Strafgesetzbuch. No 28. Demnach erkennt der Kassationshof : Die· Nichtigkeitsbeschwerde wird gutgeheissen, das Ur- teil des Appellationsgerichts des Kantons Basel-Stadt vom 15. November 1951 aufgehoben und die Sache zur Neu- beurteilung im Sinne der Erwägungen an die Vorinstanz zurückgewiesen. 28. Anszug aus dem Urteil des Kassationshofes vom 13. Jnni 1952 i. S. Portmann gegen Staatsanwaltschaft des Kantons Zürich und Tobler. Art. 285 Ziff. 1 StGB. Wann liegt eine Handlung innerhalb der Amtsbefugnisse des Beamten ? Art. 285 eh. 1 OP. Notion de l'acte entrant dans les fonctions d'une autorite ou d'un fonctionnair,e. Art. 285 cijra 1 OP. Nozione dell'atto ehe entra nelle attribuzioni di un funzionario. Aus den Erwägungen: Nach Art. 285 Ziff. 1 StGB ist strafbar, l zu , zu an. B. - Der Gerichtsstatthalter von Solothurn-Lebern büsste Levy am 29. September 1951 in Anwendung von Art. 20 Abs. 1 lit. e der Verordnung vom 16. April 1947 über Ausverkäufe und ähnliche Veranstaltungen (AO) mit Fr. 50.-. Das Obergericht des Kantons Solothurn wies am 3. März 1952 eine· Kassationsbeschwerde des Verurteilten ab. Es hielt nicht Art. 20 Abs. 1 lit. e AO für anwendbar, sondern nahm an, Art. 1 Abs. l AO sei verletzt und dainit der Straftatbestand von Art. 20 Abs. 1 Iit. a AO erfüllt, 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