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457</w:t>
      </w:r>
    </w:p>
    <w:p>
      <w:r>
        <w:t>Bundesgericht (BGE), 1952-01-01, IT</w:t>
      </w:r>
    </w:p>
    <w:p>
      <w:r>
        <w:rPr>
          <w:b/>
        </w:rPr>
        <w:t xml:space="preserve">Quelle: </w:t>
      </w:r>
      <w:r>
        <w:t>https://mcp.opencaselaw.ch/entscheid/bge_78_II_457</w:t>
      </w:r>
    </w:p>
    <w:p>
      <w:r>
        <w:t>FR: ATF 78 II 457</w:t>
      </w:r>
    </w:p>
    <w:p>
      <w:r>
        <w:t>IT: DTF 78 II 457</w:t>
      </w:r>
    </w:p>
    <w:p>
      <w:pPr>
        <w:pStyle w:val="Heading2"/>
      </w:pPr>
      <w:r>
        <w:t>Volltext</w:t>
      </w:r>
    </w:p>
    <w:p>
      <w:r>
        <w:t>456 Obligationenrecht. N° 78. Prescription. En cas d'emission d'une lettre de change, la prescription cam- biaire absorbe-t-e!Je la prescription ordinaire de la dette primi- tive! 4. - E controverso nella dottrina e nella prassi se la prescrizione ordinaria deI rapporto causale sia assorbita, in caso di emissione d'un effetto cambiario, dalla pre- scrizione cambiaria. LEscoT (Des effets de commerce I, ed. 1935, n° 89, pag. 198 e seg.) risponde negativamente a tale quesito : « ••• si I'on se rallie a la theorie de la dualiM des droits du titulaire de l'effet, ... le creancier, lorsqu'il reclame le paiement de ce qui lui est du en vertu de son titre originaire de creance, ne profite pas des avantages resultant des regles du change et, dans ces conditions, il n'y a aucune raison de supposer qu'il a entendu faire b6neficier son debiteur d'une prescription abregee » (pag. 199/200). In sensocontrario si erano gia pronun- ciati THALLER-PERCEROU, Droit commerciaI, 8a ed. 1931, vol. 11, n° 1562, pag. 934 e seg., vedi anche n° 1301), come pure ARMINJON e CARRY, La lettre de change et le billet a ordre, n° 43, pag. 62 e seg.). THALLER-PERCEROU trovano che la tesi sostenuta da LEscoT poggia su un ragionamento semplicistico: « Sans doute, la creance n'est point novee ... Mais il est impossible de meconnaitre la repercussion qu'exerce la souscription ou la negociation de la lettre de change sur le droit primitif solliciM par la traite». Il creditore cambiario disporrebbe di due azioni, l'una a dipendenza dei rapporto causale, l'altra derivante dalla pretesa cambiaria. « Les deux actions ... se confon- dent et, quand la lettre de change sera prescrite ou frappee de decheance, la dette primitive succombera avec elle» (THALLER-PERCEROU, l. c.). Questa tesi non convince; in Francia la Corte di cassazione l'ha respinta in due sen- tenze (ARMINJON e CARRY, 1. c. pag. 63). Si obietta che il creditore, essendo temporaneamente titolare deII'effettc cambiario, deve osservare, prima di far valere la S.la pretesa derivante dal rapporto causale, i termini e le for- I I I 'I ~-- I ~ I I • -. Obligationenrecht. N° 79. 457 malita imposti al titolare dell'effetto cambiario; se gode i vantaggi offerti dal diritto cambiario, deve sopportarne anche gli inconvenienti, adunque la breve prescrizione. Cosi argomentando, non si tiene pero presente che chi accetta un effetto cambiario per un'obbligazione esistente ha diritto di regola al pagamento dei debito scaduto, ossia il debitore cambiario ottiene per 10 piu, quale compenso per l'emissione dell'effetto cambi~rio, una dilazione. La dottrina, secondo cui iI termine di prescrizione piu lungo deI rapporto causale dev'essere sostituito col termine piu breve previsto dal diritto cambiario, conduce insomma ad un pregiudizio deI creditore: la prescrizione e infatti di diritto materiale e, abbreviandola, si diminuisce il diritto deI creditore. Non si vede con quale giustificazione si possa escludere l'azione basata sul rapporto causale dopo la scadenza deI termine di prescrizione cambiaria, quando l'effetto cambiario fu dato semplicemente in vista deI pagamento e non in 8olutum. Se esistono I'uno accanto all'altro i due rapporti giuridici, iI causale e iI cambiario, e naturale di ammettere il diverso termine di prescrizione proprio a ciascuno di essL In concreto si deve pertanto applicare il termine decennale di prescrizione (art. 127 CO) al debito causale deI convenuto. 79. Urteil der I. Zivilabteilnng vom 15. Oktober 1952 i. S. Exaeta Watch A.-6. gegen Montres Exactns A.-6. Firmen- Marken-, Wettbewerbsrecht. Zur Aufnahme von Sachbezeichnungen in die Firma (Art. 944 Abs. 1 OR und 44 Abs. 1 HRegV). Die Geschäftsfirma als Handelsmarke; Schutzbedingung (Art. 1·3 MSchG). . Unlauterer Wettbewerb durch ma.rke~ige~ Gebrauch. e~es mit der gültigen, wenn auch markenrechtbch Illcht schutzIa~gen Geschäftsfirma verwechselbaren Zeichens (Art. 1 Abs. 2 ht. d UWG). 458 Obligationenrecht. N0 79. Droit ooncernant ka raisons de commerce, les marques et la concur- rence. Insertion dans la raison de commerce de designations de choses (ar~. 944 al. 1 CO et 44 al. 1 ORC). La raIson de cO,mmerce comme marque de fabrique (art. 1 a 3 LMF). Con!3urrence deloyale consistant dans l'emploi comme marque d'un s~e pretant a c&lt;;mfusion avec une raison de commerce valable malS non susceptlble de protection comme marque de fabrique (art. l er al. 2 lettre d LCD). Ditte. commerciali, marche e concorrenza. Designazioni di cose nella di~ta (art. 944 ?p. 1 CO e art. 44 cp. 1 ORC). La ditta com:nercmle come marca di fabbrica ; presupposto della sua protezlOne (art. 1-3 LMF). Concorrem:a .sleale che c?nsiste nen'~o, come marca, d'un segno c&lt;;mfondibile con una ditta commerClale valida ma non suscettiva ~S)~ere protetta quale marca di fabbrica (art. 1, cp. 2, lett. d Die Montres Exactus A.-G., Uhrenfabrik in Neuenburg, klagte gegen die am 10. September 1951 gegründete Uhren- fabrik Exacta Watch A.-G. in Biel mit den Begehren: 1. Es sei die. Löschung der Firma Exacta Watch A.-G. im HandelsregIster zu verfügen. 2. Es sei der Beklagten zu verbieten, in Zukunft das Wort Exacta in ~r Firumbezeichnung zu führen oder als Marke oder sonstWie zu gebrauchen, unter Androhung der Straf- folgen im Widerhandlungsfall. 3. ~ie Beklagte sei ~u verurteilen, alle Waren, Druckerzeug- russe, Reklameschilder, Stempel usw., auf welchen das Wort Ex~ta angebracht ist, zu vernichten, eventuell die Auf- schrift .Exacta zu entfernen, unter Androhung der Straf- folgen un Unterlassungsfall. Das Handelsgericht des Kantons Bern urteilte am 10. Juli 1952. Es wies das Klagebegehren 1 wegen Fehlens einer gesetzlichen Grundlage ab, hiess aber die Klage- begehren 2 und 3 im wesentlichen gut, jenes für die Ver- wendung des Wortes Exacta im Zusammenhang mit Uhren und dieses in der eventuell beantragten Form. Auf Berufung der Beklagten hin bestätigt das Bundes- gericht den angefochtenen Entscheid aus nachstehenden Erwägungen : 1. - Die Berufung bringt vor, das Wort « exact» sei, auf Uhren bezogen, typische Beschaffenheitsangabe, daher Gemeingut und firmenrechtlich wie markenrechtlich nicht 1 , 1 I Obligationenracht. N0 79, 459 schutzfähig. Sollte der Allgemeingut-Charakter der Be- zeichnung « exact » verneint werden, so könnte trotzdem die Klägerin mangels Gebrauchspriorität der Beklagten die markenmässige Verwendung nicht verwehren, abge- sehen davon, dass eine solche nicht einmal erwiesen sei. 2. - Bei ihrer Argumentation scheint die Beklagte zu übersehen, dass sich die für die Firmenbildung von Aktien- gesellschaften massgeblichen Grundsätze mit denjenigen für die Markenbildung nicht decken. So kennt Art. 944 Abs. 1 OR, im Gegensatz zu Art. 3 MSchG, kein Verbot der Verwendung eines im Gemeingut stehenden Zeichens. Vielmehr darf gemäss jener Bestimmung die Firma neben dem vom Gesetz vorgeschriebenen wesentlichen Inhalt auch Angaben enthalten, die zur näheren Umschreibung der darin erwähnten Personen dienen oder auf die Natur des Unternehmens hinweisen oder eine Phantasiebezeich- nung darstellen, vorausgesetzt, dass der Inhalt der Firma der Wahrheit entspricht, keine Täuschungen verursachen kann und keinem öffentlichen Interesse zuwiderläuft. Dem- nach sind Sachbezeichnungen in der Firma an sich zulässig. Tatsächlich werden sie häufig einbezogen; man denke an die vielen Gesellschaften, die sich Maschinenfabrik, Treu- handvereinigung usw. nennen. Jedoch erhebt sich die von Amtes wegen zu prüfende Frage, ob nicht die Firma der Klägerin gegen Art. 44 Abs. 1 HReg V verstosse, der die Aufnahme von Bezeichnungen, welche nur der Reklame dienen, untersagt. Allein das Erfordernis der Exaktheit ist für Uhren dermassen selbst- verständlich, dass die Einführung des Ausdruckes {{ exakt ~ in die Firma einer Uhrenfabrik kaum als reklamehafte Berühmung von Präzisionsarbeit empfunden wird und jedenfalls nicht geeignet ist, ernsthaft als solche zu wirken. « Exactus» als Teil des Firmanamens einer Aktiengesell- schaft ist daher so wenig zu beanstanden, wie etwa die Bezeichnungen « Veritas», «Sekuritas», «Fides», «Hygiena», « Express» usw. (vgL HIS, Kommentar zu Art. 944 OR N. 100). 460 Obligationenrecht. N° 79. 3. - Den Hauptbestandteil ihrer Firma, nämlich das Wort « Exactus», hat die Klägerin als Marke hinterlegt. Dem steht - was die Vorinstanz nicht beachtete - Art. 3 MSchG entgegen .. « Exactus» gehört zu den Gemeingut- bezeichnungen von der Art, wie sie schon in BGE 27 II 616 f. als für die Markenbildung untauglich verworfen wurde. Deswegen kann die Klägerin aus der erfolgten Ein- tragung keine markenrechtlichen Ansprüche herleiten. Dann ist sie auch nicht zur markenrechtlichen Unterlas- sungsklage befugt, womit sich eine Erörterung ihrer von der Beklagten bestrittenen Gebrauchspriorität erübrigt. Zwar werden laut Art. 1 MSchG die Geschäftsfirmen als Handelsmarken betrachtet. Und Art. 2 MSchG fügt bei, dass schweizerische Geschäftsfirmen, welche als Marken gebraucht werden, mit der Eintragung in das Handels- register den Schutz des Gesetzes geniessen. Das heisst aber nicht, dass jede markenmässig benützte Firma schlechtweg geschützt sei. Die Rechtsprechung hat stets verlangt, dass als Voraussetzung dafür die Anforderungen des MSchG erfüllt sein müssen (BGE 43 II 96). Gerade das trifft hier nicht zu. 4. - Indessen wäre, da die Firma der Klägerin unan- fechtbar besteht, von Seite der Beklagten ein Gebrauch des Wortes « Exacta» als Marke aus anderem Grunde unstatt- haft. Er würde im Sinne von Art. 1 Abs. 2 lit. d UWG eine Massnahme darstellen, die bestimmt oder geeignet ist, Verwechslungen mit den Waren, Werken, Leistungen oder dem Geschäftsbetrieb eines Dritten herbeizuführen. Frei- lich behauptet die Beklagte, sie habe ihre Firmabezeich- nung « Exacta» nicht als Marke benützt. Demgegenüber hat aber die Vorinstanz festgestellt, die Gefahr, dass das künftig geschehe, liege auf der Hand. Solch drohende Störung muss auch im Anwendungsgebiete des UWG zur Klagelegitimation genügen. Vgl. auch Nr. 80. - Voir aussi n° 80. Motorfahrzeugverkehr. N° 80. V. MOTORFAHRZEUGVERKEHR CIRCULATION ROUTIERE 461 80. Auszug aus dem Urteil der I. Zivilabteilung vom 7. Oktober 1952 i. S. Baggenstoss gegen Waadtländische Versicherung auf Gegenseitigkeit. Haftung zwischen MotrJrfahrzeughaltern: Bestimmung der Ersatz- pflicht für körperlichen Schaden (Art. 39 und 37 Abs._ 3 ~G). Abzug für Vorteile der Kapitalabfindung.:. Die .blo~ Moghchkelt zu nutzbringender Anlage bedeutet keme hmrelChende Recht- ferligtmg. Responsabiliti civile entre detenteurs de vehicules automobiles: Fixation de la responsabilioo en cas de dommage corporel (art. 39 et 37 aI. 3 LA). , Reduction de l'indemnite a raison de l'avantage decoulant t.le l allo- cation d'un capital: La simple possibilioo de faire des place- ments fructueux ne suffit pas pour qu'on doive operer une telle roouction. Responsabilita civile tra detentori di autoveieoU: Determinazione della responsabilita in CMO di danno corporale (art. 39 e 37 cp. 3 RJu~to!!' deU'indennita pel fatto ehe e stato accordato u~ ca~le: La semplice possibilita di effe~tuare ~ei c?lloCamentl fruttiferl non basta a ginstificare una sdfatta nduzlOne. A U8 den Erwägungen: 5. - Für den Körperschaden des Klägers Baggenstoss richtet sich die Ersatzpflicht gemäss Art. 39 MFG « nach diesem GesetZ». Die Rechtsprechung bezieht die Verwei- sung auf Art. 37 MFG (BGE 68 II 118,76 II 230). Danach ist die Haftung des Halters grundsätzlich gegeben, wenn der Schaden durch den Betrieb seines Motorfahrzeugs verursacht wird, aber die gänzliche oder teilweise Befreiung von der Ersatzpflicht aus dem Gesichtspunkte des Ver- schuldens vorbehalten. Hier stehen sich zwei Halter von Personenautomobilen gegenüber. Der Unfall und seine Schadensfolgen gehen sowohl auf die Verwirklichung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