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w:t>
      </w:r>
    </w:p>
    <w:p>
      <w:r>
        <w:t>Bundesgericht (BGE), 1905-03-28, DE</w:t>
      </w:r>
    </w:p>
    <w:p>
      <w:r>
        <w:rPr>
          <w:b/>
        </w:rPr>
        <w:t xml:space="preserve">Quelle: </w:t>
      </w:r>
      <w:r>
        <w:t>https://mcp.opencaselaw.ch/entscheid/bge_78_III_1</w:t>
      </w:r>
    </w:p>
    <w:p>
      <w:r>
        <w:t>FR: ATF 78 III 1</w:t>
      </w:r>
    </w:p>
    <w:p>
      <w:r>
        <w:t>IT: DTF 78 III 1</w:t>
      </w:r>
    </w:p>
    <w:p>
      <w:pPr>
        <w:pStyle w:val="Heading2"/>
      </w:pPr>
      <w:r>
        <w:t>Volltext</w:t>
      </w:r>
    </w:p>
    <w:p>
      <w:r>
        <w:t>LMF. LR •. LResp.C. LTM. LUFI, OG. , Oi.\f. • OMEF ORC. OSSC. PCF • PPF, RD .. RLA • RLF. RRF. RTM. StF •. Tar.LEF LF sulla protezionl delle mamhe di fabbriea e di eo~ercio! ~elJe indi- cazion! di provenienza di mere! e delle distlnzioni mdustrJali (26 set- tembre 1890). tI (25 . LF sui rapport! di diritto eivile dei domieiliati e dei dimoran gmgno 1891). dl' fl LF suUa responsabilita civile delle imprese di strade ferrate e plrosea e delle poste (28 marzo 1905). LF sulla tassa d'esenzione dal servizio militare (28 g1ugno 1878). LF sull'utilizzazione delle forze idrauliehe (22 dicembre 1916). LF sull'organizzazione giudiziaria (16 dicembre 1943). , Organizzazione militare della Confederazione Svizzera (LF dei 12 aprile Um . ull' . Ordinanza ehe mitiga temporaneamente le disposiziom s esecuzlone forzata (24 gennaio 1941). Ordinanza sul registro di eommereio (7 g1ugno 1937). Ordinanza sul servizio dello 8tato civile (18 maggio 1928). LF di proeedura civile (4 dicembre 1947). LF sulla procedura penale (15 giugno 1934). Regolamento d'esecuzione della legge federale suUe dogane dei I ottobre 1925 (10 lugiio 1926). Ordinanza d'eseeuzione della legge federale dei 15 marzo 1932 sulla circolazione degii autoveicoli e dei velocipedi (25 novembre 1932). Regolamento per l'applicazione della legge federale sul lavoro nelle fabbriche (3 ottobre 1919). Regolamento per il registro fondiario (22 fehbraio 1910). • . Regolamento d'esecuzione della legge federale suUa tassa d esenZlone dal servizio militare (26 giugno ,1934).. '. ~ LF suU'ordinamento dei funzionarl federali (30 W'!gno 192,). , Tarilla applicabile aUa legge federale sull'esecuzlone e sul fallimento (13 aprile 1948). J 1 A. SChuldbetreibungs- und Konknrsrecht. Ponrsnite et Fannte. ENTSCHEIDUNGEN DER SCHULDBETREIBUNGS- UND KONKURSKAMMER ARRftTS DE LA CHAMBRE DES POURSUITES ET DES FAILLITES 1. Auszug aus dem Entscheid vom 4. Februar i95! i. S. Christen. Bei der Lohnpfändung (Art. 93 SchKG) darf der Arbeitserwerb der unmündigen Kinder des Schuldners nur dann berücksichtigt werden, wenn sie mit den Eltern in häuslicher Gemeinschaft leben (Art. 295 Abs. 1 ZGB), d. h. bei ihnen wohnen. En cas de saiBie de salaire (art. 93 LP) le produit du travau des enfants mineurs ne peut etre pris en consideration que s'lls font menage commun avec leurs parents (art. 295 al. 1 CC), autrement dit habitent avec eux. In caso di pignoramenw di salario (an. 93 LEF), il prodotto dd lavoro dei tigU minorenni deI debitore pub essere preso in consi- derazione soltanto. se essi vivono coi genitori in economia domestica (art. 295 cp. 1 CC), vale a dire se abitano con loro. Die zürcherische Aufsichtsbehörde entschied am 28. De- zember 1951, vom monatlichen Nettoverdienst des Schuld- ners sei der Fr. 515.95 übersteigende Betrag zu pfänden. Sie nahm an, der Notbedarffür den verwitweten Schuldner und seinen 1938 geborenen Sohn Albin betrage Fr. 605.95; vom Verdienste des Schuldners seien jedoch nur Fr. 515.95 unpfandbar, weil er vom Arbeitserwerbe des 1935 gebore- nen Sohnes Rene, der als Chasseur in einem Hotel neben freier Verpflegung monatlich rund Fr. 180.- (ab 1. De- AB 78 Irr - 1952</w:t>
      </w:r>
    </w:p>
    <w:p>
      <w:r>
        <w:t>Schuldbetreibungs. und Konkursrecht. N° 1. zember sogar Fr. 220.-) verdiene, monatlich Fr. 90.- für sich beanspruchen könne. Das Bundesgericht weist den Rekurs des Schuldners gegen diesen Entscheid ab, soweit es darauf eintritt. Aus den Erwägungen: Gegen den Abzug von Fr. 90.- wendet der Rekurrent ein, sein 17-jähriger Sohn Rene habe bei ihm lediglich ein Zimmerchen, damit er nachts unter väterlicher Aufsicht sei; vom Einkommen dieses Sohnes erhalte er keinen Rappen; von einer eigentlichen Hausgemeinschaft mit diesem Sohn kömie nicht gesprochen werden; der Sohn Rene sorge für sich selber und wolle selbständig sein. Damit will er offenbar geltend machen, es sei grundsätzlich unzulässig, in einer Betreibung gegen ihn das Einkommen seines Sohnes Rene zu berücksichtigen. Wie die Vorinstanz zutreffend angenommen hat, darf der Arbeitserwerb des Sohnes nur unter der Voraus- setzung berücksichtigt werden, dass der Sohn mit dem Rekurrenten in häuslicher Gemeinschaft lebt (Art. 295 Abs. 1 ZGB). Für die Annahme einer solchen Gemein- schaft ist notwendig, aber auch genügend, dass das in Frage stehende Kind bei den Eltern wohnt. Das trifft hier zu. Auf den Umstand, dass der Sohn Rene sich wegen seines Berufes auswärts verköstigen muss, kann in diesem Zusammenhang nichts ankommen. Wollte man das Woh- nen bei den Eltern nicht als das entscheidende Kriterium gelten lassen, so wäre eine auch nur einigermassen sichere Grenzzieh~ng zwischen den Anwendungsgebieten der bei- den Absätze von Art. 295 ZGB unmöglich. Der streitige Abzug ist also grundsätzlich zu Recht erfolgt. Die elter- liche Gewalt setzt den Rekurrenten instand, sich den frag:- lichen Betrag von seinem Sohne oder von dessen Arbeit- geber auszahlen zu lassen. Der Höhe nach ist der Abzug nicht angefochten. Wie- weit der Lohn des Sohnes den Betrag übersteigt, der not- wendig ist, um dem Sohne die Existenz·in einer für sei- Schuldbetreibungs. und Konklll'llrOOht. N° 2. 3 nen Lebenskreis üblichen Weise zu sichern (vgl. BGE 62 III 118), ist denn auch eine Ermessensfrage, die das Bundesgericht nicht überprüfen kann. 2. Entscheid vom 16. Januar 1952 i. S. Richner. Grundpfandbetreibung. 1. ~ie Unpf!IDdbarkeit. gemäBs Art. 92 Ziff. 10 SchKG kann Gläu· b~gern mIt vertraglIchem Pfandrecht in der Pfandbetreibung Dlcht entgegengehalten werden. 2. Erwerb der Pfandliegenschaft nach Ansetzung der Steigerung. Hat der Erwerber auf Zustellung eines Zahlungsbefehls An· spruch T (Art. 1~3 ScI:KG, .Art. 88 u. 100 VZG). Kann er verlangen, dass ihm dIe Stetgerung mindestens einen Monat zum voraus angezeigt werde 1 (Art. 156/139 u. 138 SchKG, Art . ..I02/30 u. 103 VZG.) Bedeutung der Vormerkung von V ~rfugungsbeschr~gen. Frist für die Beschwerde wegen NICh~zustellung .emes Zahlungsbefehls und wegen verspäteter AnzeIge der Stetgerung (Art. 17 Sch KG). PourBUite en reaZiBation d'un gage immobilier. 1. !-'e c~ d'insaisissabiliM pre.vu par l'art. 92 Ob. 10 LP ne peut etre mvoque ~ une poursuite en, r6alisa.tion de gage a l'en· c.ontre de creanClers au benMice dun droit de gage conven· tronnel. 2. ~cquisit~on de l'immeuble hypotMque posMrieure a 180 fixa· tIOn de lenchere. L'aequereur a·t·il droit a ce qu'on lui notifie un co~dement de payer ? (Art. 153 LP, 88 et 100 ORI}. Peut·tl deInander qu'on l'avise de l'enchere au moins un mois auparavant ,1 (Art .. 156/139 et 1.38. LP, 102/30 et 103 ORT.) Port~ de 1 annotatlO.n des restnctlons au droit de disposer. Deml pour porter plamte pour eause de defaut de notification d'un commandement de payer et en raison du fait que l'avis de 180 vente 0. eM tardif (Art. 17 LP). Esoouzione in via di realizzazione di un pegno immobiliare. 1. TI caso d'impignorabilita previsto dall~art. 92 eifre. 10 LEF non pub essere invocato nell'esecuzione in via di realizzazione di pegn? nei confronti dicreditori 801 beneficio di un pegno convenzIOnale. ~. C?mpra dell'immobile ipotecato dopo che €I stato ordinato l'mcanto. TI compratore ha il diritto di esigere ehe gli sis noti- fiClf.to 1!ß prec~tto esecutivo ! (Art. 153 LEF, 88 e 100 RRF). Pub estgere dl essere avvertIto dell'incanto almeno un mese prima ? (Art. 156/139 e 138 LEF, 102/30 e 103 RRF). Portata. dell'annotazione delle restrizioni alla facoltä. di disporre. Termine p.er reclamare contro 180 :maucata. notifica di un precetto esecu- tIvo e 10. comunicazione tardiva dell'avviso d'incanto (an 17 LEF).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