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56</w:t>
      </w:r>
    </w:p>
    <w:p>
      <w:r>
        <w:t>Bundesgericht (BGE), 1951-03-09, FR</w:t>
      </w:r>
    </w:p>
    <w:p>
      <w:r>
        <w:rPr>
          <w:b/>
        </w:rPr>
        <w:t xml:space="preserve">Quelle: </w:t>
      </w:r>
      <w:r>
        <w:t>https://mcp.opencaselaw.ch/entscheid/bge_77_IV_56</w:t>
      </w:r>
    </w:p>
    <w:p>
      <w:r>
        <w:t>FR: ATF 77 IV 56</w:t>
      </w:r>
    </w:p>
    <w:p>
      <w:r>
        <w:t>IT: DTF 77 IV 56</w:t>
      </w:r>
    </w:p>
    <w:p>
      <w:pPr>
        <w:pStyle w:val="Heading2"/>
      </w:pPr>
      <w:r>
        <w:t>Volltext</w:t>
      </w:r>
    </w:p>
    <w:p>
      <w:r>
        <w:t>56 Verfahren. N• 12. VIII. VERFAHREN PROCEDURE 12. Extrait de I' arr~t de Ja Chambre d' aceusation du 9 mars 1951 dans la cause Schenk et Dorner contre Ministere pubJie de Ja Confederation. Art. 214 ss. PPF. Pouvoir d'examen de la Chambre d'accusation. Art. 214 ff. BStP. Überprüfungsbefugnis der Anklagekammer. Art. 214 sgg. PPF. Sindacato della Camera d'accusa. Rbmme des faits: Schenk et Dorner ont requis un complement d'enquete dans le delai'de l'art. 119 al. 1 PPF. Le juge d'instruction y a procede, sauf en ce qui concerne les expertises compta- bles, qui ne lui paraissaient pas justi:fioos. Les prevenus ont porte plainte aupres de la Chambre d'accusation, en l'invitant a ordonner les expertises sollicitoos. Extrait des motif s : Les art. 214 sv. PPF n'ont pas institue une procedure de plainte pour soumettre a la Chambre d'accusation les questions d'opportunite resolues par le juge d'instruc- tion. Elle a un pouvoir d'examen plus limite. Elle doit se borner a s'assurer que le magistrat enqueteur ne viole pas les devoirs de sa charge. Elle sortirait de son role en recherchant, a ce stade de la procedure, si telle ou telle mesure est approprioo aux circonstances. Pour que, des lors, eile puisse enjoindre au juge d'instruction d'or- donner une operation qu'il estime superflue, il faudrait que ce refus soit manifestement abusif. Les plaignants, avec raison, ne pretendent pas que tel soit le cas en l'espece. Le droit de la Chambre d'ordonner un complement d'en- quete, par exemple une expertise, lors de la mise en accu- sation (art. 129 al. 1 PPF) est evidemment reserve. Verfahren. N° 13. 57 13. Auszug aus dem Urteil des Kassationshofes vom 9. März 1951 i. S. Staatsanwaltschaft des Kantons Zttrich gegen Egg- mann. 1. Art. 273 Abs. 1 lit. a, 277bis Abs. 1 BStP. a) In welcher Weise kann die Nichtigkeitsbeschwerde be- schränkt werden, insbesondere bei Anfechtung des Urteils eines Schwurgerichts ? (Erw. 1). b) Tatsächliche Feststellungen eines Schwurgerichts binden den Kassationshof auch dann, wenn sie nicht im Wahr- spruch der Geschworenen liegen. (Erw. 2). 2. Art. 112 StGB. Umstände und überlegungen, welche die beson- ders verwerfliche Gesinnung des Täters offenbaren. (Erw. 3). 1. Art. 273 al. 1 litt. a et 277bis al. 1 PPF. a) Comment le pourvoi en nullite peut-il etre limite, notamment quand i1 vise le jugement d'une cour d'aasises siegeant avec le concours du jury ? (consid. 1). b) Les constatations de fait d'une cour d'assises lient la Cour de cassation, alors meme qu'elles ne figurent pas dans le verdict du jury (consid. 2). 2. Art. 112 OP. Circonstances et prem0ditation denotant que le d01inquant est particulierement pervers (consid. 3). 1. Art. 273 cp. 1 lett. a e art. 277bis ep. 1 PPF. a) Come puo essere limitato il ricorso per cassazione, segnata- mente quando impugna la sentenza prolata da una Corte d'assise con l'intervento di giurati ? (consid. 1). b} Gli accertamenti di fatto della Corte d'assise vincolano 18: Corte di cassazione anche se non figurano nel verdetto dei giurati (consid. 2). 2. Art. 112 OP. Circostanze e premeditazione ehe rivelano nel colpevole una particolare perv:ersita (consid. 3). A. - Gertrud Eggmann ist seit 1933 mit Hans Eggmann verheiratet. Von 1934 an unterhielt sie mit Georg Buchner ein ehebrecherisches Verhältnis, das 1938 zur Geburt eines Kindes führte, 1941 durch den deutschen Kriegsdienst des Geliebten unterbrochen und nach der Rückkehr Buchners im Jahre 1948 wieder aufgenommen wurde. Vor dem Einrücken Buchners in den Kriegsdienst verlobte Gertrud Eggmann sich mit ihm. Nach seiner Rückkehr drängte Buchner auf die Heirat und mietete bereits eine Wohnung. Ende November 1948 verabreichte Gertrud Eggmann ihrem Ehemann Bleiwasser in Zitronensa:ft sowie zweimal Rattengift in Tee, anfangs Dezember wiederum dreimal Rattengift in Tee gemischt. Als Folge traten beim Opfer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