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295</w:t>
      </w:r>
    </w:p>
    <w:p>
      <w:r>
        <w:t>Bundesgericht (BGE), 1951-01-01, DE</w:t>
      </w:r>
    </w:p>
    <w:p>
      <w:r>
        <w:rPr>
          <w:b/>
        </w:rPr>
        <w:t xml:space="preserve">Quelle: </w:t>
      </w:r>
      <w:r>
        <w:t>https://mcp.opencaselaw.ch/entscheid/bge_77_II_295</w:t>
      </w:r>
    </w:p>
    <w:p>
      <w:r>
        <w:t>FR: ATF 77 II 295</w:t>
      </w:r>
    </w:p>
    <w:p>
      <w:r>
        <w:t>IT: DTF 77 II 295</w:t>
      </w:r>
    </w:p>
    <w:p>
      <w:pPr>
        <w:pStyle w:val="Heading2"/>
      </w:pPr>
      <w:r>
        <w:t>Volltext</w:t>
      </w:r>
    </w:p>
    <w:p>
      <w:r>
        <w:t>2114 Familienreoht. N0 5ä. soltanto un uomo co1 quale aveva avuto reiazioni sessuali ad un'epoca in cui la sua paternita appariva probabile. La sentenza pubblicata nella RU 44 II 24 e seg. ha hensi dichiarato che, per fondare l'eccezione di concubito con altri uomini, basta « una grande verosimiglianza » che la madre abbia avuto ne1 periodo critico relazioni sessuali con un altro uomo che non fosse il convenuto. Con cio si voleva dire solo quanto era gia stato detto nelle suaccen- nate sentenze, ossia che a giustificare seri dubbi sulla paternita deI convenuto non e necessaria Ia prova diretta deI concubito con un terzo, ma bastano circostanze da cui si -debba inferire, secondo l'esperienza della vita, l'esistenza di un siffatto commercio sessuale. In questo caso, come per ogni prova indiziaria, si deve accontentarsi di una probabilita che. dev'essere tuttavia cosi grande da avvicinarsi alla certezza. Nonostante la sua erronea interpretazione della fgiuri- sprudenza dei Tribunale federale, la seconda giurisdizione cantonale ha applicato esattamente i suesposti principi. Quando essa dichiara che in concreto manca una « prova provata » deI concubito con piu uomini, ma esistono seri e fondati indizi. per ammetter10, cio non vuol dire altro che manca una prooa diretta deI concubito con X., ma vi sono indizi taU ehe 10 provano. Il rigetto dell'azione di patemita non viola pertanto il diritto federale, ma scaturisce senz'altro dall'esatta applicazione dell'art. 314 cp. 2 CO. L'accertamento di reiazioni intime tra G. e X. non e in urto con norme deI diritto federale in materia di prove. Quanto gli attori espongono nel ricorso per riforma al Tribunale federale rappresenta una critica dell'apprezzamento delle prove, il quale spetta soltanto al giudice cantonale. In particolare, contrariamente a quanto ritengono gli attori, Ia Camera civile deI Tribunale d'appello non era tenuta in virtu deI diritto federale ad ordinare d'ufficio un esame dei sangue per escludere la patemita di X. Erbrecht. N° 56. 11. ERBRECHT DROIT DES SUCCESSIONS 56. Auszug aus dem Urteil der 11. ZIvilabteilung vom 21. Dezember 1951 i. S. Gander gegen Gander. 295 Bäuerliches Erbreckt. Im Rahmen der « persönlichen Verhältnisse » gemäss Art. 621 Abs. I ZGB kann als aussc~aggebend ~~ck­ sichtigt werden, dass ein Bewerber das Heunwesen mit Vleh- haltung, der andere ohne solche neben einem handwerklichen Beruf betreiben will. Drait BUCCß88Or(J,Z paysan. S'agissant d'apprecier « 11.1. situation per- sonnelle » des heritiers, dans le sens de l'art. 621 al. 1 ce, on peut considerer comme determinant 1e fait qu 'un des pretendants a l'intention d'exploiter 1e domaine et d'y elever du betail, alore que l'autre n'aura.it pas de betail et exercerait en meme temps un metier d'artisan. Diritto suooeB80rW rurale. Nell'apprezzamento delle «con~oni pereonali dei coeredi» a norma. dell'art. 621 cp. 1 ce SI pub considerare come determinante il fatto che uno dei pretendenti ha l'intenzione di esercitare l'azienda suche con l'allevamento deI bestiame, mentre l'altro pretendente non ha bestiame e si dedica nello stesso tempo all'artigianato. Das Bundesgericht hat mit der ersten Instanz das Heimwesen dem ältem Sohne zugewiesen aus folgenden Erwägungen: ... Kann zwar eigene Viehhaltung an sich nicht als Be- dingung der Anrufung des bäuerlichen Erbrechts bezeich- net werden, so schliesst das doch nicht aus, dass bei der Würdigung der persönlichen Verhältnisse verschiedener Bewerber der gesetzgeberische Zweck dieses Sonderrechts in den Vordergrund gestellt werde, nämlich die ~rhaltung einer gesunden Landwirtschaft. Von diesem Gesichtspunkt aus ist in einer Gegend reiner Graswirtschaft (neben Obstbau) und bei einem Heimwesen, wo Stall und Futter- räume vorhanden und früher als solche benützt worden sind, einem Bewerber, der Vieh halten zu wollen erklärt und dafür von früher her die nötigen Kenntnisse besitzt, 296 Obligationenrecht. N0 57. gegenüber einem Erben, bei dem diese Voraussetzungen nicht zutreffen, der Vorzug zu geben. Verwertung des Graswuchses und Notwendigkeit der Düngung des Wies- landes rufen. der eigenen Viehhaltung. .. Der Betrieb mit Viehhaltung und Milchwirtschaft stellt zweifellos eine intensivere, umfassendere und daher selbständigere Form der Bewirtschaftung eines gegebenen Heimwesens dar als die blosse Gras- und Heuproduktion zum Verkauf, und entspricht mithin dem gesetzgeberischen Zweck in höherem Masse als diese. Der Bewerber, der die Landwirtschaft nur in rudimentärer Form unter Reservierung eines wesentlichen Teils seiner Arbeitskraft für einen Neben- erwerb, der wie hier schon eher einem Hauptberuf gleich- kommt, betreiben möchte, kann daher trotz gleicher fachlicher Fähigkeit einem Konkurrenten, der. die wirt- schaftlichen Möglichkeiten des Bauerngewerbes vollum- fänglich ausschöpfen und seine ganze Arbeitskraft darin einsetzen will, nicht vorgezogen werden ... V gl. auch Nr. 54. - Voir aussi n° 54. IH. OBLIGATIONENRECHT DROIT DES OBLIGATIONS 57. Extrait de l'arr~t de la Ire Cour eivile du 27 novembre 1951 dans la cause F. contre G. Dom/rf!U'[Je8.in~er.ets en caa de l~nB oorporellea (art. 46 CO). Invahdlte medlCale ou fonctIOnnelle et incidence sur Ia capaciM d'exercer une activiM remuneratrice. Application eventuelle de l'art. 42 CO. Position du Tribunal federal saisi par la voie du recours en r6forme . fait et droit (art. 63 al. 2 OJ). ' Scltaf1~r8atz bei Körper'l!erletzung (Art. 46 OR). MedizlUlSche oder funktIOnelle Invalidität und Beeinträchtigung der Erwerbsfähigkeit; eventuelle Anwendung von Art. 42 OR. Obligationenrecht. N0 57. 297 Stellung des Bundesgerichtes als Berufungsinstanz; Tat· und Rechtsfrage (Art. 63 Abs. 20G). RiBarcimento del danno in 0080 di leBione oorporale (art. 46 CO). Invalidita medica 0 funzionale e diminuzione della capacita di guadagno. Eventuale applicazione dell'art. 42 CO. Posizione deI Tribunale federale adito con un ricorso per riforma ; questione di fatto e questione di diritto (art. 63 cp. 2 OG). Resume des faits : G. a ete blesse dans une collision qui s'est produite entre son automobile et celle de F. Il a subi des lesions aux mains, ainsi qu'une commotion cerebrale. G. a intente action a F. en reparation du prejudice materiel, du dommage corporel et du tort moral que lui avait causes l'accident. La Cour d'appel du canton de Fribourg a condamne F., declare exclusivement responsable de l'accident, a payer a G. une somme de 25000 fr. avec interets. Elle etablit cette indemnite de la fa90n suivante : Les dommages materiels s'elevent a 4822 fr. Le dommage resultant des lesions corporelles se calcule comme suit : Frais medicaux et pharmaceutiques ... Indemnite pour incapacite temporaire du 21 septembre 1946 au 15 mars 1947. IndemniM pour incapacite permanente. 731 fr. 50 5212 fr. 50 18202 fr. 50 24146 fr. 50 Cette derniere indemnite est calculee sur la base d'un taux d'invalidite de 5 % et d'un gain de 1500 fr. par mois, realise par G. comme agent d'affaires. Une rente mensuelle de 75 fr., capitalisee a 3 % % pour un homme de 32 ans represente une somme de 18202 fr. 50. Il convient d'allouer au demandeur une indemnite de 1500 fr. pour tort moral. Le total des indemnite est ainsi de 30 468 fr. 50 (4822 + 24 146,50 + 1500). Il faut cependant tenir compte de l'avantage qu'il y a pour le demandeur a toucher imme-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